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TERMO DE REFERÊNCIA Nº</w:t>
      </w:r>
      <w:r>
        <w:rPr>
          <w:rFonts w:cs="Arial" w:ascii="Arial" w:hAnsi="Arial"/>
          <w:b/>
          <w:sz w:val="22"/>
          <w:szCs w:val="22"/>
        </w:rPr>
        <w:t>2589</w:t>
      </w:r>
      <w:r>
        <w:rPr>
          <w:rFonts w:cs="Arial" w:ascii="Arial" w:hAnsi="Arial"/>
          <w:b/>
          <w:sz w:val="22"/>
          <w:szCs w:val="22"/>
        </w:rPr>
        <w:t>/2024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WWRecuonormal"/>
        <w:ind w:left="0" w:right="0" w:hanging="0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1. OBJETO:</w:t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i/>
          <w:i/>
          <w:sz w:val="18"/>
          <w:szCs w:val="18"/>
          <w:shd w:fill="FFFF00" w:val="clear"/>
        </w:rPr>
      </w:pPr>
      <w:r>
        <w:rPr>
          <w:i/>
          <w:sz w:val="18"/>
          <w:szCs w:val="18"/>
          <w:shd w:fill="FFFF00" w:val="clear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tabs>
                <w:tab w:val="left" w:pos="0" w:leader="none"/>
              </w:tabs>
              <w:spacing w:lineRule="auto" w:line="36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FERRAMENTAS 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rFonts w:ascii="Arial" w:hAnsi="Arial"/>
          <w:b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</w:r>
    </w:p>
    <w:p>
      <w:pPr>
        <w:pStyle w:val="WWRecuonormal"/>
        <w:tabs>
          <w:tab w:val="left" w:pos="180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18"/>
          <w:szCs w:val="18"/>
        </w:rPr>
        <w:t>2. JUSTIFICATIVA</w:t>
      </w:r>
    </w:p>
    <w:tbl>
      <w:tblPr>
        <w:tblW w:w="10239" w:type="dxa"/>
        <w:jc w:val="left"/>
        <w:tblInd w:w="-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39"/>
      </w:tblGrid>
      <w:tr>
        <w:trPr/>
        <w:tc>
          <w:tcPr>
            <w:tcW w:w="10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tabs>
                <w:tab w:val="left" w:pos="180" w:leader="none"/>
              </w:tabs>
              <w:spacing w:lineRule="auto" w:line="360" w:before="0" w:after="0"/>
              <w:ind w:left="0" w:right="0" w:hanging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PARA PAGAMENTO DE UMA COMPRA DE FERRAMENTAS PARA O USO DE CONCERTOS DA CORSAN PARA  A SECRETARIA DE PLANEJAMENTO E URBANISMO SETOR DE CADASTRO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WWRecuonormal"/>
        <w:spacing w:lineRule="auto" w:line="360" w:before="0" w:after="0"/>
        <w:ind w:left="0" w:right="0" w:hanging="0"/>
        <w:rPr/>
      </w:pPr>
      <w:r>
        <w:rPr>
          <w:rStyle w:val="Fontepargpadro"/>
          <w:b/>
          <w:sz w:val="18"/>
          <w:szCs w:val="18"/>
        </w:rPr>
        <w:t>3. DOTAÇÃO ORÇAMENTÁRIA :</w:t>
      </w:r>
    </w:p>
    <w:p>
      <w:pPr>
        <w:pStyle w:val="WWRecuonormal"/>
        <w:spacing w:lineRule="auto" w:line="360" w:before="0" w:after="0"/>
        <w:ind w:left="0" w:right="0" w:hanging="0"/>
        <w:rPr>
          <w:i/>
          <w:i/>
          <w:sz w:val="18"/>
          <w:szCs w:val="18"/>
          <w:shd w:fill="FFFF00" w:val="clear"/>
        </w:rPr>
      </w:pPr>
      <w:r>
        <w:rPr>
          <w:i/>
          <w:sz w:val="18"/>
          <w:szCs w:val="18"/>
          <w:shd w:fill="FFFF00" w:val="clear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5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Fontepargpadro"/>
                <w:rFonts w:cs="Arial" w:ascii="Arial" w:hAnsi="Arial"/>
                <w:sz w:val="18"/>
                <w:szCs w:val="18"/>
              </w:rPr>
              <w:t>Natureza da despesa:</w:t>
            </w:r>
            <w:bookmarkStart w:id="0" w:name="Rep0088_0021_11"/>
            <w:r>
              <w:rPr>
                <w:rStyle w:val="Fontepargpadro"/>
                <w:rFonts w:cs="Arial" w:ascii="Arial" w:hAnsi="Arial"/>
                <w:sz w:val="18"/>
                <w:szCs w:val="18"/>
              </w:rPr>
              <w:t>3</w:t>
            </w:r>
            <w:bookmarkEnd w:id="0"/>
            <w:r>
              <w:rPr>
                <w:rStyle w:val="Fontepargpadro"/>
                <w:rFonts w:cs="Arial" w:ascii="Arial" w:hAnsi="Arial"/>
                <w:sz w:val="18"/>
                <w:szCs w:val="18"/>
              </w:rPr>
              <w:t>39030420000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FERRAMENTAS 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5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Fontepargpadro"/>
                <w:rFonts w:cs="Arial" w:ascii="Arial" w:hAnsi="Arial"/>
                <w:sz w:val="18"/>
                <w:szCs w:val="18"/>
              </w:rPr>
              <w:t xml:space="preserve">Fonte de Recurso: </w:t>
            </w:r>
            <w:bookmarkStart w:id="1" w:name="Rep0088_0007_11"/>
            <w:r>
              <w:rPr>
                <w:rStyle w:val="Fontepargpadro"/>
                <w:rFonts w:cs="Arial" w:ascii="Arial" w:hAnsi="Arial"/>
                <w:sz w:val="18"/>
                <w:szCs w:val="18"/>
              </w:rPr>
              <w:t>1500</w:t>
            </w:r>
            <w:bookmarkEnd w:id="1"/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2" w:name="Rep0088_0023_11"/>
            <w:r>
              <w:rPr>
                <w:rFonts w:cs="Arial" w:ascii="Arial" w:hAnsi="Arial"/>
                <w:sz w:val="18"/>
                <w:szCs w:val="18"/>
              </w:rPr>
              <w:t>Recursos não Vinculados de Impostos</w:t>
            </w:r>
            <w:bookmarkEnd w:id="2"/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360"/>
        <w:rPr>
          <w:rFonts w:ascii="Arial" w:hAnsi="Arial"/>
          <w:b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5"/>
      </w:tblGrid>
      <w:tr>
        <w:trPr/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Fontepargpadro"/>
                <w:rFonts w:cs="Arial" w:ascii="Arial" w:hAnsi="Arial"/>
                <w:sz w:val="18"/>
                <w:szCs w:val="18"/>
              </w:rPr>
              <w:t xml:space="preserve">Unidade Gestora: </w:t>
            </w:r>
            <w:bookmarkStart w:id="3" w:name="Rep0088_0010_11"/>
            <w:r>
              <w:rPr>
                <w:rStyle w:val="Fontepargpadro"/>
                <w:rFonts w:cs="Arial" w:ascii="Arial" w:hAnsi="Arial"/>
                <w:sz w:val="18"/>
                <w:szCs w:val="18"/>
              </w:rPr>
              <w:t xml:space="preserve"> </w:t>
            </w:r>
            <w:bookmarkEnd w:id="3"/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4" w:name="Rep0088_0011_11"/>
            <w:r>
              <w:rPr>
                <w:rFonts w:cs="Arial" w:ascii="Arial" w:hAnsi="Arial"/>
                <w:sz w:val="18"/>
                <w:szCs w:val="18"/>
              </w:rPr>
              <w:t>PREFEITURA MUNICIPAL</w:t>
            </w:r>
            <w:bookmarkEnd w:id="4"/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>
          <w:trHeight w:val="288" w:hRule="atLeas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Fontepargpadro"/>
                <w:rFonts w:cs="Arial" w:ascii="Arial" w:hAnsi="Arial"/>
                <w:sz w:val="18"/>
                <w:szCs w:val="18"/>
              </w:rPr>
              <w:t>Despesa:</w:t>
            </w:r>
            <w:bookmarkStart w:id="5" w:name="Rep0088_0003_11"/>
            <w:r>
              <w:rPr>
                <w:rStyle w:val="Fontepargpadro"/>
                <w:rFonts w:cs="Arial" w:ascii="Arial" w:hAnsi="Arial"/>
                <w:sz w:val="18"/>
                <w:szCs w:val="18"/>
              </w:rPr>
              <w:t>5</w:t>
            </w:r>
            <w:bookmarkEnd w:id="5"/>
            <w:r>
              <w:rPr>
                <w:rStyle w:val="Fontepargpadro"/>
                <w:rFonts w:cs="Arial" w:ascii="Arial" w:hAnsi="Arial"/>
                <w:sz w:val="18"/>
                <w:szCs w:val="18"/>
              </w:rPr>
              <w:t>279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360"/>
        <w:rPr>
          <w:rFonts w:ascii="Arial" w:hAnsi="Arial"/>
          <w:b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4. TABELA DE ITENS:</w:t>
      </w:r>
    </w:p>
    <w:tbl>
      <w:tblPr>
        <w:tblW w:w="104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75"/>
        <w:gridCol w:w="1276"/>
        <w:gridCol w:w="1874"/>
        <w:gridCol w:w="1863"/>
        <w:gridCol w:w="625"/>
        <w:gridCol w:w="800"/>
        <w:gridCol w:w="1300"/>
        <w:gridCol w:w="1425"/>
      </w:tblGrid>
      <w:tr>
        <w:trPr>
          <w:trHeight w:val="738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COMPLEMENTO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UNID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QUANT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VALOR UNITÁRIO EM R$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VALOR TOTAL EM R$</w:t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8053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ESMERILHADEIRA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ESMERILHADEIRA 4.1/2 20V 9000R S/B S/C DCG413B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PÇ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1,00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5713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BATERIA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BATERIA KIT 2BAT 5.0+CAR+BOLD CB205C2K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PÇ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2,00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5028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DISCO DE DESBASTE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DISCO DE DESBASTE 4.1/2 6,4MM DEWALT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PÇ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2,00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14026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DISCO DE CORTE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DISCO CT INOX 4.1/2 1,0 KLIN A960TZ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PÇ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2,00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18711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DETECTOR DE METAL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DETECTOR DE METAL EM FORMATO DE BASTAO SENSOR RETANGULAR COM AVISO CONTINUO DE DETENCÇAO ALTA SENSIBILIDADE PORTATIL BATERIA RECARREGAVEL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PÇ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1,00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</w:tbl>
    <w:tbl>
      <w:tblPr>
        <w:tblW w:w="10438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75"/>
        <w:gridCol w:w="1275"/>
        <w:gridCol w:w="1875"/>
        <w:gridCol w:w="1863"/>
        <w:gridCol w:w="625"/>
        <w:gridCol w:w="800"/>
        <w:gridCol w:w="1300"/>
        <w:gridCol w:w="1425"/>
      </w:tblGrid>
      <w:tr>
        <w:trPr/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20557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CH IMP 20V ½ S/BA S/C 1627N DCF961B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CH IMP 20V ½ S/BA S/C 1627N DCF961B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PÇ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5. LOCAL E PRAZO DE ENTREGA DOS MATERIAIS/SERVIÇO</w:t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tabs>
                <w:tab w:val="left" w:pos="426" w:leader="none"/>
              </w:tabs>
              <w:spacing w:lineRule="auto" w:line="360" w:before="0" w:after="0"/>
              <w:ind w:left="0" w:right="0" w:hanging="0"/>
              <w:rPr/>
            </w:pPr>
            <w:r>
              <w:rPr>
                <w:rStyle w:val="Fontepargpadro"/>
                <w:b/>
                <w:bCs/>
                <w:sz w:val="18"/>
                <w:szCs w:val="18"/>
              </w:rPr>
              <w:t>5.1.</w:t>
            </w:r>
            <w:r>
              <w:rPr>
                <w:rStyle w:val="Fontepargpadro"/>
                <w:sz w:val="18"/>
                <w:szCs w:val="18"/>
              </w:rPr>
              <w:t xml:space="preserve"> O prazo de execução será de: </w:t>
            </w:r>
            <w:r>
              <w:rPr>
                <w:rStyle w:val="Fontepargpadro"/>
                <w:sz w:val="18"/>
                <w:szCs w:val="18"/>
              </w:rPr>
              <w:t>3</w:t>
            </w:r>
            <w:r>
              <w:rPr>
                <w:rStyle w:val="Fontepargpadro"/>
                <w:sz w:val="18"/>
                <w:szCs w:val="18"/>
              </w:rPr>
              <w:t xml:space="preserve"> DIAS;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>
                <w:rStyle w:val="Fontepargpadro"/>
                <w:rFonts w:ascii="Arial" w:hAnsi="Arial"/>
                <w:b/>
                <w:bCs/>
                <w:sz w:val="18"/>
                <w:szCs w:val="18"/>
              </w:rPr>
              <w:t xml:space="preserve">5.2. </w:t>
            </w:r>
            <w:r>
              <w:rPr>
                <w:rStyle w:val="Fontepargpadro"/>
                <w:rFonts w:ascii="Arial" w:hAnsi="Arial"/>
                <w:sz w:val="18"/>
                <w:szCs w:val="18"/>
              </w:rPr>
              <w:t>O local de entrega será: O local de entrega será: Secretaria Municipal de Planejamento e Urbanismo – Rua Ramiro Barcelos, 915, centro</w:t>
            </w:r>
          </w:p>
        </w:tc>
      </w:tr>
    </w:tbl>
    <w:p>
      <w:pPr>
        <w:pStyle w:val="WWRecuonormal"/>
        <w:spacing w:lineRule="auto" w:line="360" w:before="0" w:after="0"/>
        <w:ind w:left="0" w:righ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18"/>
          <w:szCs w:val="18"/>
        </w:rPr>
        <w:t>6. DO RESPONSÁVEL PELO RECEBIMENTO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estern"/>
              <w:widowControl/>
              <w:suppressAutoHyphens w:val="false"/>
              <w:spacing w:before="100" w:after="119"/>
              <w:textAlignment w:val="auto"/>
              <w:rPr/>
            </w:pPr>
            <w:r>
              <w:rPr>
                <w:rStyle w:val="Fontepargpadro"/>
                <w:rFonts w:cs="Arial" w:ascii="Arial" w:hAnsi="Arial"/>
                <w:sz w:val="18"/>
                <w:szCs w:val="18"/>
              </w:rPr>
              <w:t>Andrielli Longo</w:t>
            </w:r>
          </w:p>
        </w:tc>
      </w:tr>
    </w:tbl>
    <w:p>
      <w:pPr>
        <w:pStyle w:val="PargrafodaLista"/>
        <w:spacing w:lineRule="auto" w:line="360"/>
        <w:ind w:left="0" w:right="0" w:hanging="0"/>
        <w:jc w:val="both"/>
        <w:rPr>
          <w:rFonts w:ascii="Arial" w:hAnsi="Arial" w:cs="Arial"/>
          <w:sz w:val="18"/>
          <w:szCs w:val="18"/>
          <w:shd w:fill="FFFF00" w:val="clear"/>
        </w:rPr>
      </w:pPr>
      <w:r>
        <w:rPr>
          <w:rFonts w:cs="Arial" w:ascii="Arial" w:hAnsi="Arial"/>
          <w:sz w:val="18"/>
          <w:szCs w:val="18"/>
          <w:shd w:fill="FFFF00" w:val="clear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18"/>
          <w:szCs w:val="18"/>
        </w:rPr>
        <w:t>7. DO PAGAMENTO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estern"/>
              <w:widowControl/>
              <w:suppressAutoHyphens w:val="false"/>
              <w:spacing w:before="100" w:after="119"/>
              <w:textAlignment w:val="auto"/>
              <w:rPr/>
            </w:pPr>
            <w:r>
              <w:rPr>
                <w:rStyle w:val="Fontepargpadro"/>
                <w:rFonts w:cs="Arial" w:ascii="Arial" w:hAnsi="Arial"/>
                <w:sz w:val="18"/>
                <w:szCs w:val="18"/>
              </w:rPr>
              <w:t>Em até 30 dias, após cada entrega definitiva do objeto.</w:t>
            </w:r>
          </w:p>
        </w:tc>
      </w:tr>
    </w:tbl>
    <w:p>
      <w:pPr>
        <w:pStyle w:val="BodyText21"/>
        <w:spacing w:lineRule="auto" w:line="36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8. CRITÉRIO DE JULGAMENTO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br/>
        <w:t>8.1. O critério de julgamento estabelecido para esse certame será de: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(X) menor preço por item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(   ) menor preço por lote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(   ) menor preço global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Vacaria,</w:t>
      </w:r>
      <w:r>
        <w:rPr>
          <w:rFonts w:cs="Arial" w:ascii="Arial" w:hAnsi="Arial"/>
          <w:sz w:val="18"/>
          <w:szCs w:val="18"/>
        </w:rPr>
        <w:t>10</w:t>
      </w:r>
      <w:r>
        <w:rPr>
          <w:rFonts w:cs="Arial" w:ascii="Arial" w:hAnsi="Arial"/>
          <w:sz w:val="18"/>
          <w:szCs w:val="18"/>
        </w:rPr>
        <w:t>/</w:t>
      </w:r>
      <w:r>
        <w:rPr>
          <w:rFonts w:cs="Arial" w:ascii="Arial" w:hAnsi="Arial"/>
          <w:sz w:val="18"/>
          <w:szCs w:val="18"/>
        </w:rPr>
        <w:t>06</w:t>
      </w:r>
      <w:r>
        <w:rPr>
          <w:rFonts w:cs="Arial" w:ascii="Arial" w:hAnsi="Arial"/>
          <w:sz w:val="18"/>
          <w:szCs w:val="18"/>
        </w:rPr>
        <w:t>/2024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BodyText21"/>
        <w:spacing w:lineRule="auto" w:line="36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_________________________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Responsável pelo Termo de Referência</w:t>
      </w:r>
    </w:p>
    <w:p>
      <w:pPr>
        <w:pStyle w:val="Normal"/>
        <w:spacing w:lineRule="auto" w:line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PargrafodaLista"/>
        <w:spacing w:lineRule="auto" w:line="360"/>
        <w:ind w:left="0" w:right="0" w:hanging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9. – COMPROVAÇÃO DE QUE O CONTRATADO PREENCHE OS REQUISITOS DE HABILITAÇÃO E QUALIFICAÇÃO MÍNIMA NECESSÁRIA (Art. 72, V)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II - a regularidade perante a Fazenda federal; (ver item 1.1)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II - a regularidade perante a Fazenda estadual;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III II - a regularidade perante a Fazenda municipal; (ver item 1.1)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IV - a regularidade relativa à Seguridade Social e ao FGTS;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V - a regularidade perante a Justiça do Trabalho;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  <w:bookmarkStart w:id="6" w:name="art68i"/>
      <w:bookmarkStart w:id="7" w:name="art68iii"/>
      <w:bookmarkStart w:id="8" w:name="art68ii"/>
      <w:bookmarkStart w:id="9" w:name="art68iv"/>
      <w:bookmarkStart w:id="10" w:name="art68v"/>
      <w:bookmarkStart w:id="11" w:name="art68vi"/>
      <w:bookmarkStart w:id="12" w:name="art68i"/>
      <w:bookmarkStart w:id="13" w:name="art68iii"/>
      <w:bookmarkStart w:id="14" w:name="art68ii"/>
      <w:bookmarkStart w:id="15" w:name="art68iv"/>
      <w:bookmarkStart w:id="16" w:name="art68v"/>
      <w:bookmarkStart w:id="17" w:name="art68vi"/>
      <w:bookmarkEnd w:id="12"/>
      <w:bookmarkEnd w:id="13"/>
      <w:bookmarkEnd w:id="14"/>
      <w:bookmarkEnd w:id="15"/>
      <w:bookmarkEnd w:id="16"/>
      <w:bookmarkEnd w:id="17"/>
    </w:p>
    <w:sectPr>
      <w:headerReference w:type="default" r:id="rId2"/>
      <w:type w:val="nextPage"/>
      <w:pgSz w:w="11906" w:h="16838"/>
      <w:pgMar w:left="1134" w:right="567" w:gutter="0" w:header="568" w:top="624" w:footer="0" w:bottom="72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Calibri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0"/>
      <w:jc w:val="center"/>
      <w:rPr/>
    </w:pPr>
    <w:r>
      <w:rPr/>
      <w:drawing>
        <wp:inline distT="0" distB="0" distL="0" distR="0">
          <wp:extent cx="547370" cy="562610"/>
          <wp:effectExtent l="0" t="0" r="0" b="0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="28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MUNICÍPIO DE VACARIA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false"/>
      <w:autoSpaceDE w:val="false"/>
      <w:bidi w:val="0"/>
      <w:snapToGrid w:val="true"/>
      <w:spacing w:lineRule="auto" w:line="240" w:before="0" w:after="0"/>
      <w:jc w:val="left"/>
    </w:pPr>
    <w:rPr>
      <w:rFonts w:eastAsia="Times New Roman" w:cs="Times New Roman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pt-BR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4253" w:leader="none"/>
      </w:tabs>
      <w:suppressAutoHyphens w:val="true"/>
      <w:ind w:left="3969" w:right="-232" w:hanging="0"/>
      <w:jc w:val="center"/>
      <w:outlineLvl w:val="0"/>
    </w:pPr>
    <w:rPr>
      <w:rFonts w:ascii="Tahoma" w:hAnsi="Tahoma" w:eastAsia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ind w:left="0" w:right="-232" w:hanging="0"/>
      <w:jc w:val="both"/>
      <w:outlineLvl w:val="1"/>
    </w:pPr>
    <w:rPr>
      <w:rFonts w:ascii="Tahoma" w:hAnsi="Tahoma" w:eastAsia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outlineLvl w:val="2"/>
    </w:pPr>
    <w:rPr>
      <w:rFonts w:ascii="Tahoma" w:hAnsi="Tahoma" w:eastAsia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right"/>
      <w:outlineLvl w:val="3"/>
    </w:pPr>
    <w:rPr>
      <w:rFonts w:ascii="Arial" w:hAnsi="Arial" w:eastAsia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CabealhoChar">
    <w:name w:val="Cabeçalho Char"/>
    <w:basedOn w:val="Fontepargpadro"/>
    <w:qFormat/>
    <w:rPr/>
  </w:style>
  <w:style w:type="character" w:styleId="WWCharLFO1LVL1">
    <w:name w:val="WW_CharLFO1LVL1"/>
    <w:qFormat/>
    <w:rPr>
      <w:rFonts w:ascii="Arial" w:hAnsi="Arial" w:cs="Times New Roman"/>
      <w:b/>
    </w:rPr>
  </w:style>
  <w:style w:type="character" w:styleId="WWCharLFO1LVL2">
    <w:name w:val="WW_CharLFO1LVL2"/>
    <w:qFormat/>
    <w:rPr>
      <w:rFonts w:cs="Times New Roman"/>
      <w:b/>
      <w:sz w:val="20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2LVL1">
    <w:name w:val="WW_CharLFO2LVL1"/>
    <w:qFormat/>
    <w:rPr>
      <w:rFonts w:ascii="Arial" w:hAnsi="Arial" w:cs="Times New Roman"/>
      <w:b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>
      <w:suppressAutoHyphens w:val="true"/>
      <w:spacing w:before="0" w:after="12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Subttulo">
    <w:name w:val="Subtitle"/>
    <w:basedOn w:val="Ttulo"/>
    <w:next w:val="Corpodotexto"/>
    <w:qFormat/>
    <w:pPr>
      <w:suppressAutoHyphens w:val="true"/>
      <w:jc w:val="center"/>
    </w:pPr>
    <w:rPr>
      <w:i/>
      <w:iCs/>
    </w:rPr>
  </w:style>
  <w:style w:type="paragraph" w:styleId="Lista">
    <w:name w:val="List"/>
    <w:basedOn w:val="Corpodotexto"/>
    <w:pPr>
      <w:suppressAutoHyphens w:val="true"/>
    </w:pPr>
    <w:rPr>
      <w:rFonts w:cs="Lucida Sans"/>
    </w:rPr>
  </w:style>
  <w:style w:type="paragraph" w:styleId="Legenda">
    <w:name w:val="Caption"/>
    <w:basedOn w:val="Normal"/>
    <w:next w:val="Normal"/>
    <w:qFormat/>
    <w:pPr>
      <w:tabs>
        <w:tab w:val="clear" w:pos="708"/>
      </w:tabs>
      <w:suppressAutoHyphens w:val="true"/>
      <w:overflowPunct w:val="true"/>
      <w:autoSpaceDE w:val="true"/>
      <w:ind w:left="-851" w:right="-1" w:hanging="0"/>
      <w:jc w:val="center"/>
      <w:textAlignment w:val="auto"/>
    </w:pPr>
    <w:rPr>
      <w:rFonts w:ascii="Arial" w:hAnsi="Arial" w:eastAsia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Lucida Sans"/>
    </w:rPr>
  </w:style>
  <w:style w:type="paragraph" w:styleId="Corpodotextorecuado">
    <w:name w:val="Body Text Indent"/>
    <w:basedOn w:val="Normal"/>
    <w:pPr>
      <w:suppressAutoHyphens w:val="true"/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suppressAutoHyphens w:val="true"/>
      <w:ind w:left="0" w:right="-232" w:firstLine="1466"/>
      <w:jc w:val="both"/>
    </w:pPr>
    <w:rPr>
      <w:rFonts w:ascii="Tahoma" w:hAnsi="Tahoma" w:eastAsia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uppressAutoHyphens w:val="true"/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suppressAutoHyphens w:val="true"/>
      <w:overflowPunct w:val="true"/>
      <w:autoSpaceDE w:val="tru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suppressAutoHyphens w:val="true"/>
      <w:overflowPunct w:val="true"/>
      <w:autoSpaceDE w:val="tru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Contedodoquadro">
    <w:name w:val="Conteúdo do quadro"/>
    <w:basedOn w:val="Corpodotexto"/>
    <w:qFormat/>
    <w:pPr>
      <w:suppressAutoHyphens w:val="true"/>
    </w:pPr>
    <w:rPr/>
  </w:style>
  <w:style w:type="paragraph" w:styleId="DocumentMap">
    <w:name w:val="DocumentMap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4" w:before="0" w:after="160"/>
      <w:jc w:val="left"/>
      <w:textAlignment w:val="auto"/>
    </w:pPr>
    <w:rPr>
      <w:rFonts w:ascii="Calibri" w:hAnsi="Calibri" w:eastAsia="Cambria Math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eastAsia="en-US" w:bidi="ar-SA" w:val="pt-BR"/>
    </w:rPr>
  </w:style>
  <w:style w:type="paragraph" w:styleId="PargrafodaLista1">
    <w:name w:val="Parágrafo da Lista1"/>
    <w:basedOn w:val="Normal"/>
    <w:qFormat/>
    <w:pPr>
      <w:tabs>
        <w:tab w:val="clear" w:pos="708"/>
      </w:tabs>
      <w:suppressAutoHyphens w:val="true"/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tabs>
        <w:tab w:val="clear" w:pos="708"/>
      </w:tabs>
      <w:suppressAutoHyphens w:val="true"/>
      <w:spacing w:before="120" w:after="120"/>
      <w:ind w:left="708" w:right="0" w:hanging="0"/>
      <w:jc w:val="both"/>
    </w:pPr>
    <w:rPr>
      <w:rFonts w:ascii="Arial" w:hAnsi="Arial" w:eastAsia="Arial Unicode MS" w:cs="Arial"/>
      <w:lang w:eastAsia="ar-SA"/>
    </w:rPr>
  </w:style>
  <w:style w:type="paragraph" w:styleId="BodyText21">
    <w:name w:val="Body Text 21"/>
    <w:basedOn w:val="Normal"/>
    <w:qFormat/>
    <w:pPr>
      <w:suppressAutoHyphens w:val="true"/>
      <w:jc w:val="both"/>
    </w:pPr>
    <w:rPr>
      <w:sz w:val="24"/>
      <w:lang w:eastAsia="pt-BR"/>
    </w:rPr>
  </w:style>
  <w:style w:type="paragraph" w:styleId="PargrafodaLista">
    <w:name w:val="Parágrafo da Lista"/>
    <w:basedOn w:val="Normal"/>
    <w:qFormat/>
    <w:pPr>
      <w:tabs>
        <w:tab w:val="clear" w:pos="708"/>
      </w:tabs>
      <w:suppressAutoHyphens w:val="true"/>
      <w:ind w:left="708" w:right="0" w:hanging="0"/>
    </w:pPr>
    <w:rPr>
      <w:rFonts w:eastAsia="Calibri" w:cs="Calibri"/>
    </w:rPr>
  </w:style>
  <w:style w:type="paragraph" w:styleId="Western">
    <w:name w:val="western"/>
    <w:basedOn w:val="Normal1"/>
    <w:qFormat/>
    <w:pPr>
      <w:widowControl/>
      <w:suppressAutoHyphens w:val="false"/>
      <w:spacing w:before="100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817</TotalTime>
  <Application>LibreOffice/7.3.2.2$Windows_X86_64 LibreOffice_project/49f2b1bff42cfccbd8f788c8dc32c1c309559be0</Application>
  <AppVersion>15.0000</AppVersion>
  <Pages>2</Pages>
  <Words>365</Words>
  <Characters>1880</Characters>
  <CharactersWithSpaces>2180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2024-06-10T11:21:46Z</cp:lastPrinted>
  <dcterms:modified xsi:type="dcterms:W3CDTF">2024-06-10T11:22:00Z</dcterms:modified>
  <cp:revision>4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