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Cabealho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DOCUMENTO DE FORMALIZAÇÃO DA DEMANDA (Art. 72)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SOLICITAÇÃO DE COMPRA/REQUISIÇÃO n°3052/2024</w:t>
      </w:r>
    </w:p>
    <w:p>
      <w:pPr>
        <w:pStyle w:val="Normal"/>
        <w:jc w:val="both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WWRecuonormal"/>
        <w:widowControl w:val="false"/>
        <w:suppressAutoHyphens w:val="true"/>
        <w:overflowPunct w:val="false"/>
        <w:bidi w:val="0"/>
        <w:spacing w:lineRule="auto" w:line="240" w:before="120" w:after="120"/>
        <w:ind w:left="0" w:right="0" w:hanging="0"/>
        <w:jc w:val="both"/>
        <w:textAlignment w:val="baseline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1. OBJETO: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0" w:leader="none"/>
              </w:tabs>
              <w:bidi w:val="0"/>
              <w:spacing w:lineRule="auto" w:line="360" w:before="0" w:after="0"/>
              <w:ind w:left="0" w:right="0" w:hanging="0"/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FERRAMENTAS DIVERSAS</w:t>
            </w:r>
          </w:p>
        </w:tc>
      </w:tr>
    </w:tbl>
    <w:p>
      <w:pPr>
        <w:pStyle w:val="WWRecuonormal"/>
        <w:tabs>
          <w:tab w:val="clear" w:pos="708"/>
          <w:tab w:val="left" w:pos="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1.1 – ESTUDO TÉCNICO PRELIMINAR E TERMO DE REFERÊNCIA/PROJETO BÁSICO (Art. 72, I)</w:t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MARCAR COM UM (X) A SITUAÇÃO.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(…..) ESTUDO TÉCNICO PRELIMINAR – </w:t>
            </w:r>
            <w:r>
              <w:rPr>
                <w:b/>
                <w:bCs/>
                <w:sz w:val="22"/>
                <w:szCs w:val="22"/>
              </w:rPr>
              <w:t xml:space="preserve">ETP – </w:t>
            </w:r>
            <w:r>
              <w:rPr>
                <w:b w:val="false"/>
                <w:bCs w:val="false"/>
                <w:sz w:val="22"/>
                <w:szCs w:val="22"/>
              </w:rPr>
              <w:t>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TERMO DE REFERÊNCIA/PROJETO BÁSICO/PROJETO EXECUTIVO - </w:t>
            </w:r>
            <w:r>
              <w:rPr>
                <w:b/>
                <w:bCs/>
                <w:sz w:val="22"/>
                <w:szCs w:val="22"/>
              </w:rPr>
              <w:t>TR/PB/PE</w:t>
            </w:r>
            <w:r>
              <w:rPr>
                <w:b w:val="false"/>
                <w:bCs w:val="false"/>
                <w:sz w:val="22"/>
                <w:szCs w:val="22"/>
              </w:rPr>
              <w:t xml:space="preserve"> (ANEXO)</w:t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rPr>
                <w:rFonts w:ascii="Arial" w:hAnsi="Arial"/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WWRecuonormal"/>
              <w:widowControl w:val="false"/>
              <w:tabs>
                <w:tab w:val="clear" w:pos="708"/>
                <w:tab w:val="left" w:pos="480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 w:val="false"/>
                <w:bCs w:val="false"/>
                <w:sz w:val="22"/>
                <w:szCs w:val="22"/>
              </w:rPr>
              <w:t xml:space="preserve">(X) POR SE TRATAR DE CONTRATAÇÃO PARA ENTREGA IMEDIATA, OU COM VALOR  INFERIOR A 1/4 (UM QUARTO) DA DISPENSA PARA COMPRAS EM GERAL, NÃO SERÁ NECESSÁRIO PARECER JURÍDICO, NECESSITANDO QUANTO A HABILITAÇÃO CND FEDERAL E MUNICIPAL, CONFORME DECRETO MUNICIPAL Nº 11/2024. INCLUEM-SE NESTE ITEM AS MANUTENÇÕES VEICULARES ATÉ R$ 8.000,00  (OITO MIL REAIS). </w:t>
            </w:r>
          </w:p>
        </w:tc>
      </w:tr>
    </w:tbl>
    <w:p>
      <w:pPr>
        <w:pStyle w:val="WWRecuonormal"/>
        <w:tabs>
          <w:tab w:val="clear" w:pos="708"/>
          <w:tab w:val="left" w:pos="4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180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2. JUSTIFICATIVA (campo observação do sistema)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>
          <w:trHeight w:val="510" w:hRule="atLeast"/>
        </w:trPr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tabs>
                <w:tab w:val="clear" w:pos="708"/>
                <w:tab w:val="left" w:pos="180" w:leader="none"/>
              </w:tabs>
              <w:bidi w:val="0"/>
              <w:spacing w:lineRule="auto" w:line="360" w:before="0" w:after="0"/>
              <w:ind w:left="0" w:right="0" w:hanging="0"/>
              <w:jc w:val="both"/>
              <w:rPr/>
            </w:pPr>
            <w:r>
              <w:rPr>
                <w:bCs/>
                <w:sz w:val="22"/>
                <w:szCs w:val="22"/>
              </w:rPr>
              <w:t>COMPRA DE FERRAMENTAS PARA O USO DA SECRETARIA DE PLANEJAMENTO E URBANISMO SETOR DE CADASTRO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 w:eastAsia="ArialMT" w:cs="Arial"/>
          <w:sz w:val="22"/>
          <w:szCs w:val="22"/>
        </w:rPr>
      </w:pPr>
      <w:r>
        <w:rPr>
          <w:rFonts w:eastAsia="ArialMT" w:cs="Arial"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3. ESTIMATIVA DE DESPESA/CUSTOS (Art. 72, II) – JUSTIFICATIVA DE PREÇO (Art. 72 VII) – RAZÃO DA ESCOLHA DO CONTRATADO (Art. 72, VI)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II – Estimativa do custo: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 Estimativa da contratação se deu da seguinte forma: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com 3 orçamentos da seguinte forma: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composição de custos unitários menores ou iguais à mediana do item correspondente no painel para consulta de preços ou no banco de preços em saúde disponíveis no Portal Nacional de Contratações Públicas (PNCP);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) contratações similares feitas pela Administração Pública, em execução ou concluídas no período de 1 (um) ano anterior à data da pesquisa de preços, inclusive mediante sistema de registro de preços, observado o índice de atualização de preços correspondente;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) utilização de dados de pesquisa publicada em mídia especializada, de tabela de referência formalmente aprovada pelo Poder Executivo federal e de sítios eletrônicos especializados ou de domínio amplo, desde que contenham a data e hora de acesso;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(X) pesquisa direta com fornecedores, mediante solicitação formal de cotação, desde que seja apresentada justificativa da escolha desses fornecedores e que não tenham sido obtidos os orçamentos com mais de 6 (seis) meses de antecedência da data de divulgação do edital;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pesquisa na base nacional de notas fiscais eletrônicas, na forma de regulamento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    ) composição de custos unitários menores ou iguais à mediana do item correspondente do Sistema de Custos Referenciais de Obras (Sicro), para serviços e obras de infraestrutura de transportes, ou do Sistema Nacional de Pesquisa de Custos e Índices de Construção Civil (Sinapi), para as demais obras e serviços de engenharia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Art. 72, VII – Justificativa do preço: Assim sendo, vislumbra-se que tal valor é compatível com o praticado pelo mercado correspondente, observando-se o disposto no Decreto Municipal n º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09</w:t>
            </w:r>
            <w:r>
              <w:rPr>
                <w:rFonts w:ascii="Arial" w:hAnsi="Arial"/>
                <w:sz w:val="22"/>
                <w:szCs w:val="22"/>
              </w:rPr>
              <w:t xml:space="preserve">/2024, que “Estabelece o procedimento administrativo para a realização de pesquisa de preços para aquisição de bens, contratação de serviços em geral e para contratação de obras e serviços de engenharia no âmbito do Município de </w:t>
            </w:r>
            <w:r>
              <w:rPr>
                <w:rFonts w:eastAsia="Times New Roman" w:cs="Times New Roman" w:ascii="Arial" w:hAnsi="Arial"/>
                <w:color w:val="auto"/>
                <w:sz w:val="22"/>
                <w:szCs w:val="22"/>
                <w:lang w:val="pt-BR" w:bidi="ar-SA"/>
              </w:rPr>
              <w:t>Vacaria</w:t>
            </w:r>
            <w:r>
              <w:rPr>
                <w:rFonts w:ascii="Arial" w:hAnsi="Arial"/>
                <w:sz w:val="22"/>
                <w:szCs w:val="22"/>
              </w:rPr>
              <w:t>, nos termos da Lei Federal nº 14.133/2021”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b/>
          <w:sz w:val="22"/>
          <w:szCs w:val="22"/>
        </w:rPr>
        <w:t>4. DOTAÇÃO ORÇAMENTÁRIA (Art. 72, IV):</w:t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Natureza da despesa:</w:t>
            </w:r>
            <w:bookmarkStart w:id="0" w:name="Rep0088_0021_11"/>
            <w:r>
              <w:rPr>
                <w:rFonts w:cs="Arial" w:ascii="Arial" w:hAnsi="Arial"/>
                <w:sz w:val="22"/>
                <w:szCs w:val="22"/>
              </w:rPr>
              <w:t>3</w:t>
            </w:r>
            <w:bookmarkEnd w:id="0"/>
            <w:r>
              <w:rPr>
                <w:rFonts w:cs="Arial" w:ascii="Arial" w:hAnsi="Arial"/>
                <w:sz w:val="22"/>
                <w:szCs w:val="22"/>
              </w:rPr>
              <w:t>39030420000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FERRAMENTAS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9861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56"/>
        <w:gridCol w:w="6104"/>
      </w:tblGrid>
      <w:tr>
        <w:trPr/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Fonte de Recurso:</w:t>
            </w:r>
            <w:bookmarkStart w:id="1" w:name="Rep0088_0007_11"/>
            <w:r>
              <w:rPr>
                <w:rFonts w:cs="Arial" w:ascii="Arial" w:hAnsi="Arial"/>
                <w:sz w:val="22"/>
                <w:szCs w:val="22"/>
              </w:rPr>
              <w:t>1</w:t>
            </w:r>
            <w:bookmarkEnd w:id="1"/>
            <w:r>
              <w:rPr>
                <w:rFonts w:cs="Arial" w:ascii="Arial" w:hAnsi="Arial"/>
                <w:sz w:val="22"/>
                <w:szCs w:val="22"/>
              </w:rPr>
              <w:t>759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2" w:name="Rep0088_0023_11"/>
            <w:r>
              <w:rPr>
                <w:rFonts w:cs="Arial" w:ascii="Arial" w:hAnsi="Arial"/>
                <w:sz w:val="22"/>
                <w:szCs w:val="22"/>
              </w:rPr>
              <w:t>R</w:t>
            </w:r>
            <w:bookmarkEnd w:id="2"/>
            <w:r>
              <w:rPr>
                <w:rFonts w:cs="Arial" w:ascii="Arial" w:hAnsi="Arial"/>
                <w:sz w:val="22"/>
                <w:szCs w:val="22"/>
              </w:rPr>
              <w:t>ECURSOS VINCULADOS A FUNDOS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tbl>
      <w:tblPr>
        <w:tblW w:w="9840" w:type="dxa"/>
        <w:jc w:val="left"/>
        <w:tblInd w:w="-59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3735"/>
        <w:gridCol w:w="6104"/>
      </w:tblGrid>
      <w:tr>
        <w:trPr/>
        <w:tc>
          <w:tcPr>
            <w:tcW w:w="3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Unidade Gestora: </w:t>
            </w:r>
            <w:bookmarkStart w:id="3" w:name="Rep0088_0010_11"/>
            <w:r>
              <w:rPr>
                <w:rFonts w:cs="Arial" w:ascii="Arial" w:hAnsi="Arial"/>
                <w:sz w:val="22"/>
                <w:szCs w:val="22"/>
              </w:rPr>
              <w:t xml:space="preserve"> </w:t>
            </w:r>
            <w:bookmarkEnd w:id="3"/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 w:cs="Arial"/>
                <w:sz w:val="22"/>
                <w:szCs w:val="22"/>
              </w:rPr>
            </w:pPr>
            <w:bookmarkStart w:id="4" w:name="Rep0088_0011_11"/>
            <w:r>
              <w:rPr>
                <w:rFonts w:cs="Arial" w:ascii="Arial" w:hAnsi="Arial"/>
                <w:sz w:val="22"/>
                <w:szCs w:val="22"/>
              </w:rPr>
              <w:t>PREFEITURA MUNICIPAL</w:t>
            </w:r>
            <w:bookmarkEnd w:id="4"/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2915" w:type="dxa"/>
        <w:jc w:val="left"/>
        <w:tblInd w:w="-80" w:type="dxa"/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2915"/>
      </w:tblGrid>
      <w:tr>
        <w:trPr/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Despesa</w:t>
            </w:r>
            <w:bookmarkStart w:id="5" w:name="Rep0088_0003_11"/>
            <w:r>
              <w:rPr>
                <w:rFonts w:cs="Arial" w:ascii="Arial" w:hAnsi="Arial"/>
                <w:sz w:val="22"/>
                <w:szCs w:val="22"/>
              </w:rPr>
              <w:t>:</w:t>
            </w:r>
            <w:bookmarkEnd w:id="5"/>
            <w:r>
              <w:rPr>
                <w:rFonts w:cs="Arial" w:ascii="Arial" w:hAnsi="Arial"/>
                <w:sz w:val="22"/>
                <w:szCs w:val="22"/>
              </w:rPr>
              <w:t>8930</w:t>
            </w:r>
          </w:p>
        </w:tc>
      </w:tr>
    </w:tbl>
    <w:p>
      <w:pPr>
        <w:pStyle w:val="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5. TABELA DE ITENS: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75"/>
        <w:gridCol w:w="1276"/>
        <w:gridCol w:w="1275"/>
        <w:gridCol w:w="1276"/>
        <w:gridCol w:w="1276"/>
        <w:gridCol w:w="1274"/>
        <w:gridCol w:w="1277"/>
        <w:gridCol w:w="1274"/>
      </w:tblGrid>
      <w:tr>
        <w:trPr/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 xml:space="preserve">ITEM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CÓDIGO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DESCRIÇÃO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COMPLEMENTO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UNID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QUANT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VALOR UNITA R$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>
                <w:b/>
                <w:bCs/>
              </w:rPr>
              <w:t>VALOR TOTAL R$</w:t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14026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DISCO DE CORTE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CX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6,00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5028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DISCO DE DESBASTE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8054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REBITADOR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4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11430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REFIL FILTRO DE PURIFICAÇAO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UN</w:t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  <w:t>1,00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2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jc w:val="center"/>
              <w:rPr/>
            </w:pPr>
            <w:r>
              <w:rPr/>
            </w:r>
          </w:p>
        </w:tc>
      </w:tr>
    </w:tbl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6. LOCAL E PRAZO DE ENTREGA DOS MATERIAIS/SERVIÇO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WWRecuonormal"/>
              <w:widowControl w:val="false"/>
              <w:numPr>
                <w:ilvl w:val="0"/>
                <w:numId w:val="0"/>
              </w:numPr>
              <w:tabs>
                <w:tab w:val="clear" w:pos="708"/>
                <w:tab w:val="left" w:pos="426" w:leader="none"/>
              </w:tabs>
              <w:bidi w:val="0"/>
              <w:spacing w:lineRule="auto" w:line="360" w:before="0" w:after="0"/>
              <w:ind w:left="0" w:right="0" w:hanging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 xml:space="preserve"> O prazo de execução será de: 2DIAS;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 xml:space="preserve">6.2. </w:t>
            </w:r>
            <w:r>
              <w:rPr>
                <w:rFonts w:ascii="Arial" w:hAnsi="Arial"/>
                <w:sz w:val="22"/>
                <w:szCs w:val="22"/>
              </w:rPr>
              <w:t xml:space="preserve">O local de entrega será: Secretaria Municipal de Planejamento e Urbanismo – Rua Ramiro Barcelos, 915, centro </w:t>
            </w:r>
          </w:p>
        </w:tc>
      </w:tr>
    </w:tbl>
    <w:p>
      <w:pPr>
        <w:pStyle w:val="WWRecuonormal"/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7. DO RESPONSÁVEL PELO RECEBIMENTO</w:t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Andrielli Longo</w:t>
            </w:r>
          </w:p>
        </w:tc>
      </w:tr>
    </w:tbl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 w:cs="Arial"/>
          <w:sz w:val="22"/>
          <w:szCs w:val="22"/>
          <w:shd w:fill="FFFF00" w:val="clear"/>
        </w:rPr>
      </w:pPr>
      <w:r>
        <w:rPr>
          <w:rFonts w:cs="Arial" w:ascii="Arial" w:hAnsi="Arial"/>
          <w:sz w:val="22"/>
          <w:szCs w:val="22"/>
          <w:shd w:fill="FFFF00" w:val="clear"/>
        </w:rPr>
      </w:r>
    </w:p>
    <w:p>
      <w:pPr>
        <w:pStyle w:val="ListParagraph"/>
        <w:bidi w:val="0"/>
        <w:spacing w:lineRule="auto" w:line="360"/>
        <w:ind w:left="0" w:right="0" w:hanging="0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WWRecuonormal"/>
        <w:numPr>
          <w:ilvl w:val="0"/>
          <w:numId w:val="0"/>
        </w:numPr>
        <w:tabs>
          <w:tab w:val="clear" w:pos="708"/>
          <w:tab w:val="left" w:pos="426" w:leader="none"/>
        </w:tabs>
        <w:bidi w:val="0"/>
        <w:spacing w:lineRule="auto" w:line="360" w:before="0" w:after="0"/>
        <w:ind w:left="0" w:right="0" w:hanging="0"/>
        <w:rPr>
          <w:rFonts w:ascii="Arial" w:hAnsi="Arial"/>
          <w:b/>
          <w:b/>
          <w:sz w:val="22"/>
          <w:szCs w:val="22"/>
        </w:rPr>
      </w:pPr>
      <w:r>
        <w:rPr>
          <w:b/>
          <w:sz w:val="22"/>
          <w:szCs w:val="22"/>
        </w:rPr>
        <w:t>8. DO PAGAMENTO</w:t>
      </w:r>
    </w:p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</w:r>
    </w:p>
    <w:tbl>
      <w:tblPr>
        <w:tblW w:w="5000" w:type="pct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205"/>
      </w:tblGrid>
      <w:tr>
        <w:trPr/>
        <w:tc>
          <w:tcPr>
            <w:tcW w:w="10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widowControl w:val="false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Em até 10 dias, após cada entrega definitiva do objeto.</w:t>
            </w:r>
          </w:p>
        </w:tc>
      </w:tr>
    </w:tbl>
    <w:p>
      <w:pPr>
        <w:pStyle w:val="WWRecuonormal"/>
        <w:bidi w:val="0"/>
        <w:spacing w:lineRule="auto" w:line="360" w:before="0" w:after="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/>
          <w:b/>
          <w:sz w:val="22"/>
          <w:szCs w:val="22"/>
        </w:rPr>
      </w:r>
    </w:p>
    <w:p>
      <w:pPr>
        <w:pStyle w:val="BodyText21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eastAsia="Times New Roman" w:cs="Arial" w:ascii="Arial" w:hAnsi="Arial"/>
          <w:b/>
          <w:color w:val="auto"/>
          <w:sz w:val="22"/>
          <w:szCs w:val="22"/>
          <w:lang w:val="pt-BR" w:eastAsia="pt-BR" w:bidi="ar-SA"/>
        </w:rPr>
        <w:t>9</w:t>
      </w:r>
      <w:r>
        <w:rPr>
          <w:rFonts w:cs="Arial" w:ascii="Arial" w:hAnsi="Arial"/>
          <w:b/>
          <w:sz w:val="22"/>
          <w:szCs w:val="22"/>
        </w:rPr>
        <w:t xml:space="preserve">. AUTORIZAÇÃO DA AUTORIDADE COMPETENTE </w:t>
      </w:r>
      <w:r>
        <w:rPr>
          <w:rFonts w:cs="Arial" w:ascii="Arial" w:hAnsi="Arial"/>
          <w:sz w:val="22"/>
          <w:szCs w:val="22"/>
        </w:rPr>
        <w:t xml:space="preserve">(ASSINATURA) </w:t>
      </w:r>
      <w:r>
        <w:rPr>
          <w:rFonts w:cs="Arial" w:ascii="Arial" w:hAnsi="Arial"/>
          <w:b/>
          <w:sz w:val="22"/>
          <w:szCs w:val="22"/>
        </w:rPr>
        <w:t>(Art. 72, VIII)</w:t>
      </w:r>
    </w:p>
    <w:p>
      <w:pPr>
        <w:pStyle w:val="BodyText21"/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Vacaria,04/07/2024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</w:t>
      </w:r>
    </w:p>
    <w:p>
      <w:pPr>
        <w:pStyle w:val="BodyText21"/>
        <w:bidi w:val="0"/>
        <w:spacing w:lineRule="auto" w:line="360"/>
        <w:ind w:left="0" w:right="0" w:hanging="0"/>
        <w:jc w:val="center"/>
        <w:rPr>
          <w:rFonts w:ascii="Arial" w:hAnsi="Arial" w:cs="Arial"/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ListParagraph"/>
        <w:numPr>
          <w:ilvl w:val="0"/>
          <w:numId w:val="0"/>
        </w:numPr>
        <w:bidi w:val="0"/>
        <w:spacing w:lineRule="auto" w:line="360"/>
        <w:ind w:left="0" w:right="0" w:hanging="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10. – COMPROVAÇÃO DE QUE O CONTRATADO PREENCHE OS REQUISITOS DE HABILITAÇÃO E QUALIFICAÇÃO MÍNIMA NECESSÁRIA (Art. 72, V)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 – CONTRATO SOCIAL E a inscrição no Cadastro de Pessoas Físicas (CPF) ou no Cadastro Nacional da Pessoa Jurídica (CNPJ); (Objeto social – CNAE - compatível com a compra/serviço)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federal;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 - a regularidade perante a Fazenda estadual;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III II - a regularidade perante a Fazenda municipal; (ver item 1.1)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IV - a regularidade relativa à Seguridade Social e ao FGTS;</w:t>
      </w:r>
    </w:p>
    <w:p>
      <w:pPr>
        <w:pStyle w:val="NormalWeb"/>
        <w:bidi w:val="0"/>
        <w:spacing w:before="225" w:after="225"/>
        <w:ind w:left="0" w:right="0" w:firstLine="57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V - a regularidade perante a Justiça do Trabalho;</w:t>
      </w:r>
    </w:p>
    <w:p>
      <w:pPr>
        <w:pStyle w:val="Normal"/>
        <w:bidi w:val="0"/>
        <w:spacing w:lineRule="auto" w:line="360"/>
        <w:ind w:left="0" w:right="0" w:hanging="0"/>
        <w:rPr>
          <w:rFonts w:ascii="Arial" w:hAnsi="Arial" w:cs="Arial"/>
          <w:color w:val="000000"/>
          <w:sz w:val="22"/>
          <w:szCs w:val="22"/>
        </w:rPr>
      </w:pPr>
      <w:r>
        <w:rPr/>
      </w:r>
      <w:bookmarkStart w:id="6" w:name="art68iii"/>
      <w:bookmarkStart w:id="7" w:name="art68iii"/>
      <w:bookmarkEnd w:id="7"/>
    </w:p>
    <w:sectPr>
      <w:headerReference w:type="default" r:id="rId2"/>
      <w:type w:val="nextPage"/>
      <w:pgSz w:w="11906" w:h="16838"/>
      <w:pgMar w:left="1134" w:right="567" w:gutter="0" w:header="568" w:top="625" w:footer="0" w:bottom="284"/>
      <w:pgNumType w:fmt="decimal"/>
      <w:formProt w:val="false"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roman"/>
    <w:pitch w:val="variable"/>
  </w:font>
  <w:font w:name="Arial Black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Web"/>
      <w:spacing w:before="0" w:after="280"/>
      <w:jc w:val="center"/>
      <w:rPr/>
    </w:pPr>
    <w:r>
      <w:rPr/>
      <w:drawing>
        <wp:inline distT="0" distB="0" distL="0" distR="0">
          <wp:extent cx="547370" cy="562610"/>
          <wp:effectExtent l="0" t="0" r="0" b="0"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04" t="-398" r="-504" b="-398"/>
                  <a:stretch>
                    <a:fillRect/>
                  </a:stretch>
                </pic:blipFill>
                <pic:spPr bwMode="auto">
                  <a:xfrm>
                    <a:off x="0" y="0"/>
                    <a:ext cx="547370" cy="562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NormalWeb"/>
      <w:spacing w:before="280" w:after="280"/>
      <w:jc w:val="center"/>
      <w:rPr>
        <w:rFonts w:ascii="Arial" w:hAnsi="Arial"/>
        <w:b/>
        <w:b/>
        <w:bCs/>
        <w:sz w:val="26"/>
        <w:szCs w:val="26"/>
      </w:rPr>
    </w:pPr>
    <w:r>
      <w:rPr>
        <w:rFonts w:ascii="Arial" w:hAnsi="Arial"/>
        <w:b/>
        <w:bCs/>
        <w:sz w:val="26"/>
        <w:szCs w:val="26"/>
      </w:rPr>
      <w:t>MUNICÍPIO DE VACARIA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Lucida Sans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tabs>
        <w:tab w:val="clear" w:pos="708"/>
        <w:tab w:val="center" w:pos="284" w:leader="none"/>
      </w:tabs>
      <w:ind w:left="3969" w:right="-232" w:hanging="0"/>
      <w:jc w:val="center"/>
      <w:outlineLvl w:val="0"/>
    </w:pPr>
    <w:rPr>
      <w:rFonts w:ascii="Tahoma" w:hAnsi="Tahoma" w:cs="Tahoma"/>
      <w:sz w:val="24"/>
    </w:rPr>
  </w:style>
  <w:style w:type="paragraph" w:styleId="Ttulo2">
    <w:name w:val="Heading 2"/>
    <w:basedOn w:val="Normal"/>
    <w:next w:val="Normal"/>
    <w:qFormat/>
    <w:pPr>
      <w:keepNext w:val="true"/>
      <w:numPr>
        <w:ilvl w:val="1"/>
        <w:numId w:val="1"/>
      </w:numPr>
      <w:ind w:left="0" w:right="-232" w:hanging="0"/>
      <w:jc w:val="both"/>
      <w:outlineLvl w:val="1"/>
    </w:pPr>
    <w:rPr>
      <w:rFonts w:ascii="Tahoma" w:hAnsi="Tahoma" w:cs="Tahoma"/>
      <w:b/>
      <w:sz w:val="24"/>
      <w:szCs w:val="24"/>
    </w:rPr>
  </w:style>
  <w:style w:type="paragraph" w:styleId="Ttulo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rFonts w:ascii="Tahoma" w:hAnsi="Tahoma" w:cs="Tahoma"/>
      <w:bCs/>
      <w:sz w:val="28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jc w:val="right"/>
      <w:outlineLvl w:val="3"/>
    </w:pPr>
    <w:rPr>
      <w:rFonts w:ascii="Arial" w:hAnsi="Arial" w:cs="Arial"/>
      <w:b/>
      <w:bCs/>
    </w:rPr>
  </w:style>
  <w:style w:type="character" w:styleId="Fontepargpadro">
    <w:name w:val="Fonte parág. padrão"/>
    <w:qFormat/>
    <w:rPr/>
  </w:style>
  <w:style w:type="character" w:styleId="Nmerodepgina">
    <w:name w:val="Número de página"/>
    <w:basedOn w:val="Fontepargpadro"/>
    <w:rPr/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next w:val="Normal"/>
    <w:qFormat/>
    <w:pPr>
      <w:overflowPunct w:val="true"/>
      <w:ind w:left="-851" w:right="-1" w:hanging="0"/>
      <w:jc w:val="center"/>
      <w:textAlignment w:val="auto"/>
    </w:pPr>
    <w:rPr>
      <w:rFonts w:ascii="Arial" w:hAnsi="Arial" w:cs="Arial"/>
      <w:b/>
      <w:color w:val="000000"/>
      <w:sz w:val="22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-232" w:firstLine="1418"/>
      <w:jc w:val="both"/>
    </w:pPr>
    <w:rPr>
      <w:sz w:val="24"/>
    </w:rPr>
  </w:style>
  <w:style w:type="paragraph" w:styleId="Recuodecorpodetexto2">
    <w:name w:val="Recuo de corpo de texto 2"/>
    <w:basedOn w:val="Normal"/>
    <w:qFormat/>
    <w:pPr>
      <w:ind w:left="0" w:right="-232" w:firstLine="1466"/>
      <w:jc w:val="both"/>
    </w:pPr>
    <w:rPr>
      <w:rFonts w:ascii="Tahoma" w:hAnsi="Tahoma" w:cs="Tahoma"/>
      <w:b/>
      <w:sz w:val="24"/>
      <w:szCs w:val="24"/>
    </w:rPr>
  </w:style>
  <w:style w:type="paragraph" w:styleId="DivisodeTabelas">
    <w:name w:val="Divisão de Tabelas"/>
    <w:basedOn w:val="Normal"/>
    <w:qFormat/>
    <w:pPr>
      <w:spacing w:lineRule="exact" w:line="20"/>
      <w:textAlignment w:val="auto"/>
    </w:pPr>
    <w:rPr/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Linhahorizontal">
    <w:name w:val="Linha horizontal"/>
    <w:basedOn w:val="Normal"/>
    <w:next w:val="Corpodotexto"/>
    <w:qFormat/>
    <w:pPr>
      <w:widowControl w:val="false"/>
      <w:pBdr>
        <w:bottom w:val="double" w:sz="2" w:space="0" w:color="808080"/>
      </w:pBdr>
      <w:suppressAutoHyphens w:val="true"/>
      <w:overflowPunct w:val="true"/>
      <w:spacing w:before="0" w:after="283"/>
      <w:textAlignment w:val="auto"/>
    </w:pPr>
    <w:rPr>
      <w:rFonts w:eastAsia="Lucida Sans Unicode" w:cs="Tahoma"/>
      <w:sz w:val="12"/>
    </w:rPr>
  </w:style>
  <w:style w:type="paragraph" w:styleId="NormalWeb">
    <w:name w:val="Normal (Web)"/>
    <w:basedOn w:val="Normal"/>
    <w:qFormat/>
    <w:pPr>
      <w:overflowPunct w:val="true"/>
      <w:spacing w:before="280" w:after="280"/>
      <w:textAlignment w:val="auto"/>
    </w:pPr>
    <w:rPr>
      <w:color w:val="333333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ontedodoquadro">
    <w:name w:val="Conteúdo do quadro"/>
    <w:basedOn w:val="Corpodotexto"/>
    <w:qFormat/>
    <w:pPr/>
    <w:rPr/>
  </w:style>
  <w:style w:type="paragraph" w:styleId="DocumentMap">
    <w:name w:val="Document Map"/>
    <w:qFormat/>
    <w:pPr>
      <w:widowControl/>
      <w:suppressAutoHyphens w:val="true"/>
      <w:overflowPunct w:val="true"/>
      <w:bidi w:val="0"/>
      <w:spacing w:lineRule="auto" w:line="252" w:before="0" w:after="160"/>
      <w:jc w:val="left"/>
      <w:textAlignment w:val="auto"/>
    </w:pPr>
    <w:rPr>
      <w:rFonts w:ascii="Calibri" w:hAnsi="Calibri" w:eastAsia="Cambria Math" w:cs="Times New Roman"/>
      <w:color w:val="auto"/>
      <w:kern w:val="0"/>
      <w:sz w:val="22"/>
      <w:szCs w:val="22"/>
      <w:lang w:val="pt-BR" w:eastAsia="en-US" w:bidi="ar-SA"/>
    </w:rPr>
  </w:style>
  <w:style w:type="paragraph" w:styleId="PargrafodaLista1">
    <w:name w:val="Parágrafo da Lista1"/>
    <w:basedOn w:val="Normal"/>
    <w:qFormat/>
    <w:pPr>
      <w:spacing w:before="0" w:after="0"/>
      <w:ind w:left="720" w:right="0" w:hanging="0"/>
      <w:contextualSpacing/>
    </w:pPr>
    <w:rPr>
      <w:rFonts w:eastAsia="Calibri" w:cs="Calibri"/>
    </w:rPr>
  </w:style>
  <w:style w:type="paragraph" w:styleId="WWRecuonormal">
    <w:name w:val="WW-Recuo normal"/>
    <w:basedOn w:val="Normal"/>
    <w:qFormat/>
    <w:pPr>
      <w:widowControl w:val="false"/>
      <w:suppressAutoHyphens w:val="true"/>
      <w:spacing w:lineRule="auto" w:line="240" w:before="120" w:after="120"/>
      <w:ind w:left="708" w:right="0" w:hanging="0"/>
      <w:jc w:val="both"/>
    </w:pPr>
    <w:rPr>
      <w:rFonts w:ascii="Arial" w:hAnsi="Arial" w:eastAsia="Arial Unicode MS" w:cs="Arial"/>
      <w:szCs w:val="20"/>
      <w:lang w:eastAsia="ar-SA"/>
    </w:rPr>
  </w:style>
  <w:style w:type="paragraph" w:styleId="BodyText21">
    <w:name w:val="Body Text 21"/>
    <w:basedOn w:val="Normal"/>
    <w:qFormat/>
    <w:pPr>
      <w:spacing w:lineRule="auto" w:line="240" w:before="0" w:after="0"/>
      <w:jc w:val="both"/>
    </w:pPr>
    <w:rPr>
      <w:sz w:val="24"/>
      <w:szCs w:val="20"/>
      <w:lang w:eastAsia="pt-BR"/>
    </w:rPr>
  </w:style>
  <w:style w:type="paragraph" w:styleId="ListParagraph">
    <w:name w:val="List Paragraph"/>
    <w:basedOn w:val="Normal"/>
    <w:qFormat/>
    <w:pPr>
      <w:ind w:left="708" w:right="0" w:hanging="0"/>
    </w:pPr>
    <w:rPr>
      <w:rFonts w:eastAsia="Calibri" w:cs="Calib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3127307</TotalTime>
  <Application>LibreOffice/7.3.2.2$Windows_X86_64 LibreOffice_project/49f2b1bff42cfccbd8f788c8dc32c1c309559be0</Application>
  <AppVersion>15.0000</AppVersion>
  <Pages>3</Pages>
  <Words>686</Words>
  <Characters>3749</Characters>
  <CharactersWithSpaces>4390</CharactersWithSpaces>
  <Paragraphs>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2018-08-01T09:06:00Z</dcterms:created>
  <dc:creator>a</dc:creator>
  <dc:description/>
  <dc:language>pt-BR</dc:language>
  <cp:lastModifiedBy/>
  <cp:lastPrinted>2024-07-04T10:06:39Z</cp:lastPrinted>
  <dcterms:modified xsi:type="dcterms:W3CDTF">2024-07-04T10:11:33Z</dcterms:modified>
  <cp:revision>31</cp:revision>
  <dc:subject/>
  <dc:title>PROCESSO DE PESQUISA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áSalvou">
    <vt:lpwstr>N</vt:lpwstr>
  </property>
  <property fmtid="{D5CDD505-2E9C-101B-9397-08002B2CF9AE}" pid="3" name="glbLinkTopic">
    <vt:lpwstr>Controle</vt:lpwstr>
  </property>
  <property fmtid="{D5CDD505-2E9C-101B-9397-08002B2CF9AE}" pid="4" name="glbNomeAplicativo">
    <vt:lpwstr>LCCETIL</vt:lpwstr>
  </property>
  <property fmtid="{D5CDD505-2E9C-101B-9397-08002B2CF9AE}" pid="5" name="glbObjetoLink">
    <vt:lpwstr>txtLinkDDE</vt:lpwstr>
  </property>
  <property fmtid="{D5CDD505-2E9C-101B-9397-08002B2CF9AE}" pid="6" name="glbPathAplicação">
    <vt:lpwstr>c:\pronim\LCcetil\</vt:lpwstr>
  </property>
  <property fmtid="{D5CDD505-2E9C-101B-9397-08002B2CF9AE}" pid="7" name="glbProcessandoFormatação">
    <vt:lpwstr>S</vt:lpwstr>
  </property>
  <property fmtid="{D5CDD505-2E9C-101B-9397-08002B2CF9AE}" pid="8" name="glbQuerysUtilizadas">
    <vt:lpwstr>&lt;0092&gt;&lt;0007&gt;&lt;0108&gt;&lt;0088&gt;&lt;0016&gt;&lt;0063&gt;&lt;0066&gt;&lt;0090&gt;&lt;0036&gt;&lt;0068&gt;&lt;0104&gt;&lt;0089&gt;&lt;0065&gt;&lt;0093&gt;&lt;0064&gt;&lt;0094&gt;</vt:lpwstr>
  </property>
  <property fmtid="{D5CDD505-2E9C-101B-9397-08002B2CF9AE}" pid="9" name="glbTítuloAplicativo">
    <vt:lpwstr>Formatação de Documentos - Formatação</vt:lpwstr>
  </property>
  <property fmtid="{D5CDD505-2E9C-101B-9397-08002B2CF9AE}" pid="10" name="glbUltimaAtualização">
    <vt:lpwstr>02/05/2005</vt:lpwstr>
  </property>
  <property fmtid="{D5CDD505-2E9C-101B-9397-08002B2CF9AE}" pid="11" name="glbVersão">
    <vt:lpwstr>2005.01.01</vt:lpwstr>
  </property>
  <property fmtid="{D5CDD505-2E9C-101B-9397-08002B2CF9AE}" pid="12" name="glbVersãoDocumento">
    <vt:lpwstr> 93</vt:lpwstr>
  </property>
</Properties>
</file>