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DOCUMENTO DE FORMALIZAÇÃO DA DEMANDA (Art. 72)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SOLICITAÇÃO DE COMPRA/REQUISIÇÃO n°</w:t>
      </w:r>
      <w:r>
        <w:rPr>
          <w:rFonts w:cs="Arial" w:ascii="Arial" w:hAnsi="Arial"/>
          <w:b/>
          <w:bCs/>
          <w:sz w:val="22"/>
          <w:szCs w:val="22"/>
        </w:rPr>
        <w:t>3124</w:t>
      </w:r>
      <w:r>
        <w:rPr>
          <w:rFonts w:cs="Arial" w:ascii="Arial" w:hAnsi="Arial"/>
          <w:b/>
          <w:bCs/>
          <w:sz w:val="22"/>
          <w:szCs w:val="22"/>
        </w:rPr>
        <w:t>/2024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widowControl w:val="false"/>
        <w:suppressAutoHyphens w:val="true"/>
        <w:overflowPunct w:val="true"/>
        <w:bidi w:val="0"/>
        <w:spacing w:lineRule="auto" w:line="240" w:before="120" w:after="120"/>
        <w:ind w:left="0" w:right="0" w:hanging="0"/>
        <w:jc w:val="both"/>
        <w:textAlignment w:val="baseline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1. OBJETO: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0" w:leader="none"/>
              </w:tabs>
              <w:bidi w:val="0"/>
              <w:spacing w:lineRule="auto" w:line="360" w:before="0" w:after="0"/>
              <w:ind w:left="0" w:right="0" w:hanging="0"/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 xml:space="preserve">3 CARIMBOS  </w:t>
            </w:r>
          </w:p>
        </w:tc>
      </w:tr>
    </w:tbl>
    <w:p>
      <w:pPr>
        <w:pStyle w:val="WWRecuonormal"/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1.1 – ESTUDO TÉCNICO PRELIMINAR E TERMO DE REFERÊNCIA/PROJETO BÁSICO (Art. 72, I)</w:t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MARCAR COM UM (X) A SITUAÇÃO.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(…..) ESTUDO TÉCNICO PRELIMINAR – </w:t>
            </w:r>
            <w:r>
              <w:rPr>
                <w:b/>
                <w:bCs/>
                <w:sz w:val="22"/>
                <w:szCs w:val="22"/>
              </w:rPr>
              <w:t xml:space="preserve">ETP – </w:t>
            </w:r>
            <w:r>
              <w:rPr>
                <w:b w:val="false"/>
                <w:bCs w:val="false"/>
                <w:sz w:val="22"/>
                <w:szCs w:val="22"/>
              </w:rPr>
              <w:t>(ANEXO)</w:t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(X) TERMO DE REFERÊNCIA/PROJETO BÁSICO/PROJETO EXECUTIVO - </w:t>
            </w:r>
            <w:r>
              <w:rPr>
                <w:b/>
                <w:bCs/>
                <w:sz w:val="22"/>
                <w:szCs w:val="22"/>
              </w:rPr>
              <w:t>TR/PB/PE</w:t>
            </w:r>
            <w:r>
              <w:rPr>
                <w:b w:val="false"/>
                <w:bCs w:val="false"/>
                <w:sz w:val="22"/>
                <w:szCs w:val="22"/>
              </w:rPr>
              <w:t xml:space="preserve"> (ANEXO)</w:t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(X) POR SE TRATAR DE CONTRATAÇÃO PARA ENTREGA IMEDIATA, OU COM VALOR  INFERIOR A 1/4 (UM QUARTO) DA DISPENSA PARA COMPRAS EM GERAL, NÃO SERÁ NECESSÁRIO PARECER JURÍDICO, NECESSITANDO QUANTO A HABILITAÇÃO CND FEDERAL E MUNICIPAL, CONFORME DECRETO MUNICIPAL Nº 11/2024. INCLUEM-SE NESTE ITEM AS MANUTENÇÕES VEICULARES ATÉ R$ 8.000,00  (OITO MIL REAIS). </w:t>
            </w:r>
          </w:p>
        </w:tc>
      </w:tr>
    </w:tbl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1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2. JUSTIFICATIVA (campo observação do sistema)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>
          <w:trHeight w:val="510" w:hRule="atLeast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/>
            </w:pPr>
            <w:r>
              <w:rPr>
                <w:bCs/>
                <w:sz w:val="22"/>
                <w:szCs w:val="22"/>
              </w:rPr>
              <w:t xml:space="preserve">COMPRA DE 3 UNIDADES DE CARIMBOS PARA A SECRETARIA DE PLANEJAMENTO E URBANISMO SETOR DE CADASTRO 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 w:eastAsia="ArialMT" w:cs="Arial"/>
          <w:sz w:val="22"/>
          <w:szCs w:val="22"/>
        </w:rPr>
      </w:pPr>
      <w:r>
        <w:rPr>
          <w:rFonts w:eastAsia="ArialMT" w:cs="Arial"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3. ESTIMATIVA DE DESPESA/CUSTOS (Art. 72, II) – JUSTIFICATIVA DE PREÇO (Art. 72 VII) – RAZÃO DA ESCOLHA DO CONTRATADO (Art. 72, VI)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II – Estimativa do custo: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Estimativa da contratação se deu da seguinte forma: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 3 orçamentos da seguinte forma: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 composição de custos unitários menores ou iguais à mediana do item correspondente no painel para consulta de preços ou no banco de preços em saúde disponíveis no Portal Nacional de Contratações Públicas (PNCP);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 contratações similares feitas pela Administração Pública, em execução ou concluídas no período de 1 (um) ano anterior à data da pesquisa de preços, inclusive mediante sistema de registro de preços, observado o índice de atualização de preços correspondente;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) utilização de dados de pesquisa publicada em mídia especializada, de tabela de referência formalmente aprovada pelo Poder Executivo federal e de sítios eletrônicos especializados ou de domínio amplo, desde que contenham a data e hora de acesso;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(X) pesquisa direta com fornecedores, mediante solicitação formal de cotação, desde que seja apresentada justificativa da escolha desses fornecedores e que não tenham sido obtidos os orçamentos com mais de 6 (seis) meses de antecedência da data de divulgação do edital;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pesquisa na base nacional de notas fiscais eletrônicas, na forma de regulamento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composição de custos unitários menores ou iguais à mediana do item correspondente do Sistema de Custos Referenciais de Obras (Sicro), para serviços e obras de infraestrutura de transportes, ou do Sistema Nacional de Pesquisa de Custos e Índices de Construção Civil (Sinapi), para as demais obras e serviços de engenharia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VII – Justificativa do preço: Assim sendo, vislumbra-se que tal valor é compatível com o praticado pelo mercado correspondente, observando-se o disposto no Decreto Municipal n º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09</w:t>
            </w:r>
            <w:r>
              <w:rPr>
                <w:rFonts w:ascii="Arial" w:hAnsi="Arial"/>
                <w:sz w:val="22"/>
                <w:szCs w:val="22"/>
              </w:rPr>
              <w:t xml:space="preserve">/2024, que “Estabelece o procedimento administrativo para a realização de pesquisa de preços para aquisição de bens, contratação de serviços em geral e para contratação de obras e serviços de engenharia no âmbito do Município de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Vacaria</w:t>
            </w:r>
            <w:r>
              <w:rPr>
                <w:rFonts w:ascii="Arial" w:hAnsi="Arial"/>
                <w:sz w:val="22"/>
                <w:szCs w:val="22"/>
              </w:rPr>
              <w:t>, nos termos da Lei Federal nº 14.133/2021”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b/>
          <w:sz w:val="22"/>
          <w:szCs w:val="22"/>
        </w:rPr>
        <w:t>4. DOTAÇÃO ORÇAMENTÁRIA (Art. 72, IV):</w:t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Natureza da despesa:</w:t>
            </w:r>
            <w:bookmarkStart w:id="0" w:name="Rep0088_0021_11"/>
            <w:r>
              <w:rPr>
                <w:rFonts w:cs="Arial" w:ascii="Arial" w:hAnsi="Arial"/>
                <w:sz w:val="22"/>
                <w:szCs w:val="22"/>
              </w:rPr>
              <w:t>3</w:t>
            </w:r>
            <w:bookmarkEnd w:id="0"/>
            <w:r>
              <w:rPr>
                <w:rFonts w:cs="Arial" w:ascii="Arial" w:hAnsi="Arial"/>
                <w:sz w:val="22"/>
                <w:szCs w:val="22"/>
              </w:rPr>
              <w:t>39030160000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MATERIAL DE EXPEDIENTE 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Fonte de Recurso</w:t>
            </w:r>
            <w:bookmarkStart w:id="1" w:name="Rep0088_0007_11"/>
            <w:r>
              <w:rPr>
                <w:rFonts w:cs="Arial" w:ascii="Arial" w:hAnsi="Arial"/>
                <w:sz w:val="22"/>
                <w:szCs w:val="22"/>
              </w:rPr>
              <w:t>:</w:t>
            </w:r>
            <w:bookmarkEnd w:id="1"/>
            <w:r>
              <w:rPr>
                <w:rFonts w:cs="Arial" w:ascii="Arial" w:hAnsi="Arial"/>
                <w:sz w:val="22"/>
                <w:szCs w:val="22"/>
              </w:rPr>
              <w:t>1500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Rep0088_0023_11"/>
            <w:r>
              <w:rPr>
                <w:rFonts w:cs="Arial" w:ascii="Arial" w:hAnsi="Arial"/>
                <w:sz w:val="22"/>
                <w:szCs w:val="22"/>
              </w:rPr>
              <w:t>R</w:t>
            </w:r>
            <w:bookmarkEnd w:id="2"/>
            <w:r>
              <w:rPr>
                <w:rFonts w:cs="Arial" w:ascii="Arial" w:hAnsi="Arial"/>
                <w:sz w:val="22"/>
                <w:szCs w:val="22"/>
              </w:rPr>
              <w:t xml:space="preserve">ECURSOS </w:t>
            </w:r>
            <w:r>
              <w:rPr>
                <w:rFonts w:cs="Arial" w:ascii="Arial" w:hAnsi="Arial"/>
                <w:sz w:val="22"/>
                <w:szCs w:val="22"/>
              </w:rPr>
              <w:t>NÃO VINCULADOS DE IMPOSTO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4"/>
      </w:tblGrid>
      <w:tr>
        <w:trPr/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Unidade Gestora: </w:t>
            </w:r>
            <w:bookmarkStart w:id="3" w:name="Rep0088_0010_11"/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  <w:bookmarkEnd w:id="3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4"/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Despesa</w:t>
            </w:r>
            <w:bookmarkStart w:id="5" w:name="Rep0088_0003_11"/>
            <w:r>
              <w:rPr>
                <w:rFonts w:cs="Arial" w:ascii="Arial" w:hAnsi="Arial"/>
                <w:sz w:val="22"/>
                <w:szCs w:val="22"/>
              </w:rPr>
              <w:t>:</w:t>
            </w:r>
            <w:bookmarkEnd w:id="5"/>
            <w:r>
              <w:rPr>
                <w:rFonts w:cs="Arial" w:ascii="Arial" w:hAnsi="Arial"/>
                <w:sz w:val="22"/>
                <w:szCs w:val="22"/>
              </w:rPr>
              <w:t>1423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5. TABELA DE ITENS: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75"/>
        <w:gridCol w:w="1276"/>
        <w:gridCol w:w="1275"/>
        <w:gridCol w:w="1276"/>
        <w:gridCol w:w="1276"/>
        <w:gridCol w:w="1275"/>
        <w:gridCol w:w="1276"/>
        <w:gridCol w:w="1276"/>
      </w:tblGrid>
      <w:tr>
        <w:trPr/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ITEM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CÓDIGO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DESCRIÇÃO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COMPLEMENTO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UNID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QUANTIA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UNI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5722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CARIMBOS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UN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3,00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</w:tr>
    </w:tbl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/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6. LOCAL E PRAZO DE ENTREGA DOS MATERIAIS/SERVIÇO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26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 xml:space="preserve"> O prazo de execução será de: 2DIAS;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6.2. </w:t>
            </w:r>
            <w:r>
              <w:rPr>
                <w:rFonts w:ascii="Arial" w:hAnsi="Arial"/>
                <w:sz w:val="22"/>
                <w:szCs w:val="22"/>
              </w:rPr>
              <w:t xml:space="preserve">O local de entrega será: Secretaria Municipal de Planejamento e Urbanismo – Rua Ramiro Barcelos, 915, centro 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7. DO RESPONSÁVEL PELO RECEBIMENTO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8. DO PAGAMENTO</w:t>
      </w:r>
    </w:p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 até 10 dias, após cada entrega definitiva do objeto.</w:t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BodyText2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b/>
          <w:color w:val="auto"/>
          <w:sz w:val="22"/>
          <w:szCs w:val="22"/>
          <w:lang w:val="pt-BR" w:eastAsia="pt-BR" w:bidi="ar-SA"/>
        </w:rPr>
        <w:t>9</w:t>
      </w:r>
      <w:r>
        <w:rPr>
          <w:rFonts w:cs="Arial" w:ascii="Arial" w:hAnsi="Arial"/>
          <w:b/>
          <w:sz w:val="22"/>
          <w:szCs w:val="22"/>
        </w:rPr>
        <w:t xml:space="preserve">. AUTORIZAÇÃO DA AUTORIDADE COMPETENTE </w:t>
      </w:r>
      <w:r>
        <w:rPr>
          <w:rFonts w:cs="Arial" w:ascii="Arial" w:hAnsi="Arial"/>
          <w:sz w:val="22"/>
          <w:szCs w:val="22"/>
        </w:rPr>
        <w:t xml:space="preserve">(ASSINATURA) </w:t>
      </w:r>
      <w:r>
        <w:rPr>
          <w:rFonts w:cs="Arial" w:ascii="Arial" w:hAnsi="Arial"/>
          <w:b/>
          <w:sz w:val="22"/>
          <w:szCs w:val="22"/>
        </w:rPr>
        <w:t>(Art. 72, VIII)</w:t>
      </w:r>
    </w:p>
    <w:p>
      <w:pPr>
        <w:pStyle w:val="BodyText21"/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Vacaria,0</w:t>
      </w:r>
      <w:r>
        <w:rPr>
          <w:rFonts w:cs="Arial" w:ascii="Arial" w:hAnsi="Arial"/>
          <w:b w:val="false"/>
          <w:bCs w:val="false"/>
          <w:sz w:val="22"/>
          <w:szCs w:val="22"/>
        </w:rPr>
        <w:t>8</w:t>
      </w:r>
      <w:r>
        <w:rPr>
          <w:rFonts w:cs="Arial" w:ascii="Arial" w:hAnsi="Arial"/>
          <w:b w:val="false"/>
          <w:bCs w:val="false"/>
          <w:sz w:val="22"/>
          <w:szCs w:val="22"/>
        </w:rPr>
        <w:t>/07/2024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10. – COMPROVAÇÃO DE QUE O CONTRATADO PREENCHE OS REQUISITOS DE HABILITAÇÃO E QUALIFICAÇÃO MÍNIMA NECESSÁRIA (Art. 72, V)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federal; 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III II - a regularidade perante a Fazenda municipal; 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 w:cs="Arial"/>
          <w:color w:val="000000"/>
          <w:sz w:val="22"/>
          <w:szCs w:val="22"/>
        </w:rPr>
      </w:pPr>
      <w:r>
        <w:rPr/>
      </w:r>
      <w:bookmarkStart w:id="6" w:name="art68iii"/>
      <w:bookmarkStart w:id="7" w:name="art68iii"/>
      <w:bookmarkEnd w:id="7"/>
    </w:p>
    <w:sectPr>
      <w:headerReference w:type="default" r:id="rId2"/>
      <w:type w:val="nextPage"/>
      <w:pgSz w:w="11906" w:h="16838"/>
      <w:pgMar w:left="1134" w:right="567" w:gutter="0" w:header="568" w:top="625" w:footer="0" w:bottom="28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 Black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280"/>
      <w:jc w:val="center"/>
      <w:rPr/>
    </w:pPr>
    <w:r>
      <w:rPr/>
      <w:drawing>
        <wp:inline distT="0" distB="0" distL="0" distR="0">
          <wp:extent cx="547370" cy="562610"/>
          <wp:effectExtent l="0" t="0" r="0" b="0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4" t="-398" r="-504" b="-398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MUNICÍPIO DE VACARIA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284" w:leader="none"/>
      </w:tabs>
      <w:ind w:left="3969" w:right="-232" w:hanging="0"/>
      <w:jc w:val="center"/>
      <w:outlineLvl w:val="0"/>
    </w:pPr>
    <w:rPr>
      <w:rFonts w:ascii="Tahoma" w:hAnsi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-232" w:hanging="0"/>
      <w:jc w:val="both"/>
      <w:outlineLvl w:val="1"/>
    </w:pPr>
    <w:rPr>
      <w:rFonts w:ascii="Tahoma" w:hAnsi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Tahoma" w:hAnsi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rFonts w:ascii="Arial" w:hAnsi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next w:val="Normal"/>
    <w:qFormat/>
    <w:pPr>
      <w:overflowPunct w:val="false"/>
      <w:ind w:left="-851" w:right="-1" w:hanging="0"/>
      <w:jc w:val="center"/>
      <w:textAlignment w:val="auto"/>
    </w:pPr>
    <w:rPr>
      <w:rFonts w:ascii="Arial" w:hAnsi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Corpodotextorecuado">
    <w:name w:val="Body Text Indent"/>
    <w:basedOn w:val="Normal"/>
    <w:pPr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ind w:left="0" w:right="-232" w:firstLine="1466"/>
      <w:jc w:val="both"/>
    </w:pPr>
    <w:rPr>
      <w:rFonts w:ascii="Tahoma" w:hAnsi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pBdr>
        <w:bottom w:val="double" w:sz="2" w:space="0" w:color="808080"/>
      </w:pBdr>
      <w:suppressAutoHyphens w:val="true"/>
      <w:overflowPunct w:val="fals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overflowPunct w:val="fals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Corpodotexto"/>
    <w:qFormat/>
    <w:pPr/>
    <w:rPr/>
  </w:style>
  <w:style w:type="paragraph" w:styleId="DocumentMap">
    <w:name w:val="Document Map"/>
    <w:qFormat/>
    <w:pPr>
      <w:widowControl/>
      <w:suppressAutoHyphens w:val="true"/>
      <w:overflowPunct w:val="false"/>
      <w:bidi w:val="0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color w:val="auto"/>
      <w:kern w:val="0"/>
      <w:sz w:val="22"/>
      <w:szCs w:val="22"/>
      <w:lang w:val="pt-BR" w:eastAsia="en-US" w:bidi="ar-SA"/>
    </w:rPr>
  </w:style>
  <w:style w:type="paragraph" w:styleId="PargrafodaLista1">
    <w:name w:val="Parágrafo da Lista1"/>
    <w:basedOn w:val="Normal"/>
    <w:qFormat/>
    <w:pPr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suppressAutoHyphens w:val="true"/>
      <w:spacing w:lineRule="auto" w:line="240" w:before="120" w:after="120"/>
      <w:ind w:left="708" w:right="0" w:hanging="0"/>
      <w:jc w:val="both"/>
    </w:pPr>
    <w:rPr>
      <w:rFonts w:ascii="Arial" w:hAnsi="Arial" w:eastAsia="Arial Unicode MS" w:cs="Arial"/>
      <w:szCs w:val="20"/>
      <w:lang w:eastAsia="ar-SA"/>
    </w:rPr>
  </w:style>
  <w:style w:type="paragraph" w:styleId="BodyText21">
    <w:name w:val="Body Text 21"/>
    <w:basedOn w:val="Normal"/>
    <w:qFormat/>
    <w:pPr>
      <w:spacing w:lineRule="auto" w:line="240" w:before="0" w:after="0"/>
      <w:jc w:val="both"/>
    </w:pPr>
    <w:rPr>
      <w:sz w:val="24"/>
      <w:szCs w:val="20"/>
      <w:lang w:eastAsia="pt-BR"/>
    </w:rPr>
  </w:style>
  <w:style w:type="paragraph" w:styleId="ListParagraph">
    <w:name w:val="List Paragraph"/>
    <w:basedOn w:val="Normal"/>
    <w:qFormat/>
    <w:pPr>
      <w:ind w:left="708" w:right="0" w:hanging="0"/>
    </w:pPr>
    <w:rPr>
      <w:rFonts w:eastAsia="Calibri" w:cs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3127433</TotalTime>
  <Application>LibreOffice/7.3.2.2$Windows_X86_64 LibreOffice_project/49f2b1bff42cfccbd8f788c8dc32c1c309559be0</Application>
  <AppVersion>15.0000</AppVersion>
  <Pages>3</Pages>
  <Words>666</Words>
  <Characters>3665</Characters>
  <CharactersWithSpaces>4304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2024-07-08T13:39:15Z</cp:lastPrinted>
  <dcterms:modified xsi:type="dcterms:W3CDTF">2024-07-08T13:43:44Z</dcterms:modified>
  <cp:revision>32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