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  <w:bookmarkStart w:id="0" w:name="_GoBack"/>
      <w:bookmarkStart w:id="1" w:name="_GoBack"/>
      <w:bookmarkEnd w:id="1"/>
    </w:p>
    <w:tbl>
      <w:tblPr>
        <w:tblW w:w="7655" w:type="dxa"/>
        <w:jc w:val="left"/>
        <w:tblInd w:w="13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528"/>
      </w:tblGrid>
      <w:tr>
        <w:trPr/>
        <w:tc>
          <w:tcPr>
            <w:tcW w:w="2127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252" w:leader="none"/>
                <w:tab w:val="right" w:pos="8504" w:leader="none"/>
              </w:tabs>
              <w:overflowPunct w:val="true"/>
              <w:spacing w:lineRule="auto" w:line="240" w:before="0" w:after="0"/>
              <w:jc w:val="center"/>
              <w:textAlignment w:val="baseline"/>
              <w:rPr/>
            </w:pPr>
            <w:r>
              <w:rPr/>
              <w:drawing>
                <wp:inline distT="0" distB="0" distL="0" distR="0">
                  <wp:extent cx="1009650" cy="854710"/>
                  <wp:effectExtent l="0" t="0" r="0" b="0"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/>
          </w:tcPr>
          <w:p>
            <w:pPr>
              <w:pStyle w:val="Normal"/>
              <w:overflowPunct w:val="true"/>
              <w:spacing w:lineRule="auto" w:line="240" w:before="0" w:after="0"/>
              <w:textAlignment w:val="baseline"/>
              <w:rPr>
                <w:rFonts w:ascii="Arial" w:hAnsi="Arial" w:eastAsia="Times New Roman"/>
                <w:szCs w:val="20"/>
                <w:lang w:eastAsia="pt-BR"/>
              </w:rPr>
            </w:pPr>
            <w:r>
              <w:rPr>
                <w:rFonts w:eastAsia="Times New Roman" w:ascii="Arial" w:hAnsi="Arial"/>
                <w:szCs w:val="20"/>
                <w:lang w:eastAsia="pt-BR"/>
              </w:rPr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Arial" w:hAnsi="Arial" w:eastAsia="Times New Roman"/>
                <w:b/>
                <w:b/>
                <w:i/>
                <w:i/>
                <w:sz w:val="26"/>
                <w:szCs w:val="26"/>
                <w:lang w:eastAsia="pt-BR"/>
              </w:rPr>
            </w:pPr>
            <w:r>
              <w:rPr>
                <w:rFonts w:eastAsia="Times New Roman" w:ascii="Arial" w:hAnsi="Arial"/>
                <w:b/>
                <w:i/>
                <w:sz w:val="26"/>
                <w:szCs w:val="26"/>
                <w:lang w:eastAsia="pt-BR"/>
              </w:rPr>
              <w:t>MUNICÍPIO DE VACARIA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Rua Ramiro Barcelos, 915, Centro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CNPJ: 87.866.745/0001-16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>a ) Processo N</w:t>
      </w:r>
      <w:r>
        <w:rPr>
          <w:rFonts w:eastAsia="Times New Roman" w:cs="Tahoma" w:ascii="Arial" w:hAnsi="Arial"/>
          <w:sz w:val="22"/>
          <w:lang w:eastAsia="ar-SA"/>
        </w:rPr>
        <w:t>º</w:t>
      </w:r>
      <w:r>
        <w:rPr>
          <w:rFonts w:eastAsia="Times New Roman" w:ascii="Arial" w:hAnsi="Arial"/>
          <w:sz w:val="22"/>
          <w:lang w:eastAsia="pt-BR"/>
        </w:rPr>
        <w:t>: 4552</w:t>
      </w:r>
      <w:r>
        <w:rPr>
          <w:rFonts w:eastAsia="Times New Roman" w:ascii="Arial" w:hAnsi="Arial"/>
          <w:b/>
          <w:bCs/>
          <w:sz w:val="22"/>
          <w:lang w:eastAsia="pt-BR"/>
        </w:rPr>
        <w:t xml:space="preserve">/2025 </w:t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>b ) Licitação N</w:t>
      </w:r>
      <w:r>
        <w:rPr>
          <w:rFonts w:eastAsia="Times New Roman" w:cs="Tahoma" w:ascii="Arial" w:hAnsi="Arial"/>
          <w:sz w:val="22"/>
          <w:lang w:eastAsia="ar-SA"/>
        </w:rPr>
        <w:t>º</w:t>
      </w:r>
      <w:r>
        <w:rPr>
          <w:rFonts w:eastAsia="Times New Roman" w:ascii="Arial" w:hAnsi="Arial"/>
          <w:sz w:val="22"/>
          <w:lang w:eastAsia="pt-BR"/>
        </w:rPr>
        <w:t>: 300014</w:t>
      </w:r>
      <w:r>
        <w:rPr>
          <w:rFonts w:eastAsia="Times New Roman" w:ascii="Arial" w:hAnsi="Arial"/>
          <w:b/>
          <w:bCs/>
          <w:sz w:val="22"/>
          <w:lang w:eastAsia="pt-BR"/>
        </w:rPr>
        <w:t>/2025</w:t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 xml:space="preserve">c ) Modalidade: </w:t>
      </w:r>
      <w:r>
        <w:rPr>
          <w:rFonts w:eastAsia="Times New Roman" w:ascii="Arial" w:hAnsi="Arial"/>
          <w:b/>
          <w:bCs/>
          <w:sz w:val="22"/>
          <w:lang w:eastAsia="pt-BR"/>
        </w:rPr>
        <w:t>Pregão</w:t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 xml:space="preserve">d ) Objeto da Licitação: </w:t>
      </w:r>
      <w:r>
        <w:rPr>
          <w:rFonts w:eastAsia="Times New Roman" w:ascii="Arial" w:hAnsi="Arial"/>
          <w:b/>
          <w:sz w:val="22"/>
          <w:lang w:eastAsia="pt-BR"/>
        </w:rPr>
        <w:t>Aquisição de Uniformes para Profissionais da Saúde</w:t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  <w:t>e ) Fornecedores e Itens Vencedores:</w:t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</w:r>
    </w:p>
    <w:tbl>
      <w:tblPr>
        <w:tblW w:w="10427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709"/>
        <w:gridCol w:w="708"/>
        <w:gridCol w:w="2695"/>
        <w:gridCol w:w="849"/>
        <w:gridCol w:w="1135"/>
        <w:gridCol w:w="991"/>
        <w:gridCol w:w="1249"/>
      </w:tblGrid>
      <w:tr>
        <w:trPr>
          <w:trHeight w:val="57" w:hRule="atLeast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Fornecedor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Lote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UND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Qtde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Valor Unt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Marca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 xml:space="preserve">Macacão unissex azul marinho de mangas compridas. Padrão Samu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355,00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marca propia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Camiseta unissex branca ou azul marinho de gola redonda. Padrão Samu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30,00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50,62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marca propia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Boné unissex azul marinho. Padrão Samu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40,10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são jose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Jaqueta unissex azul marinho. Padrão Samu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230,00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marca propia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BOTA TÁTICA COTURNO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13,00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320,00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armata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Capa de Chuva unissex azul marinho longa 7/8 com capuz. Padrão Samu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255,00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kapao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 xml:space="preserve">BORNAL TÁTICO AZUL SAMU - BORNAL TÁTICO DESENVOLVIDO PARA AUXILIO EM RESGATE E SALVAMENTO, COM 5 BOLSOS FRONTAIS INDIVIDUAIS E LOGO SAMU;  COR: AZUL MARINHO; LOGO SAMU BORDADA; ACABAMENTO EXTERNO EM ALÇA DE POLIPROPILENO DE 25MM; BOLSO COM FECHAMENTO EM VELCRO. CONFECÇÃO EM POLIÉSTER 600; MEDIDAS APROXIMADAMENTE 40X20CM; ENGATE RÁPIDO DE 30MM; ZÍPER DE 6MM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18,00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91,69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couro art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Touca unissex azul marinho. Padrão Samu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13,00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34,98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malha certa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Joelheira para impacto. Padrão Samu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110,01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carbografite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Camiseta Manga Curta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110,00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38,50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marca propia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 xml:space="preserve">COLETE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110,00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110,00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marca propia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 xml:space="preserve">BONE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110,00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45,00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marca propia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ALS UNIFORMES PROFISSIONAIS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Mochila em material nylon ripstop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110,00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110,32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fjs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RIOLLI&amp;LIMA UNIFORMES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Jaleco para enfermeiro na cor verde escuro com logos bordados, nome da Secretaria Municipal da Saúde; Logo do SUS; Brasão do Município de Vacaria; Tecido Gabardine ou microfibra; gênero masculino e feminino; bolsos 1(um) superior e 2(dois) inferiores; manga longa com punho.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40,00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75,00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propria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RIOLLI&amp;LIMA UNIFORMES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Jaleco para médicos, nutricionistas e psicólogos na cor branca com logos bordados, nome da Secretaria Municipal da Saúde; Logo do SUS; Brasão do Município de Vacaria; Tecido Gabardine ou microfibra; gênero masculino e feminino; bolsos 1(um) superior e 2(dois) inferiores; manga longa com punho..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59,00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75,00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propria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RIOLLI&amp;LIMA UNIFORMES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Jaleco para técnico de enfermagem na cor branca com logos bordados, nome da Secretaria Municipal da Saúde; Logo do SUS; Brasão do Município de Vacaria; Tecido Gabardine ou microfibra; gênero masculino e feminino; bolsos 1(um) superior e 2(dois) inferiores; manga longa com punho.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60,00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75,00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propria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RIOLLI&amp;LIMA UNIFORMES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Jaleco para dentista e auxiliar de saúde bucal na cor verde água com manga longa com punho e gola de padre com logos bordados, nome da Secretaria Municipal da Saúde; Logo do SUS; Brasão do Município de Vacaria; Tecido Gabardine ou microfibra; gênero masculino e feminino; bolsos 1(um) superior e 2(dois) inferiores; manga longa com punho.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41,00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75,00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propria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RIOLLI&amp;LIMA UNIFORMES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Jaleco para recepcionista na cor verde claro com logos bordados, nome da Secretaria Municipal da Saúde; Logo do SUS; Brasão do Município de Vacaria; Tecido Gabardine ou microfibra; gênero masculino e feminino; bolsos 1(um) superior e 2(dois) inferiores; manga longa com punho.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75,00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propria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RIOLLI&amp;LIMA UNIFORMES LTDA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Jaleco para higienização na cor verde menta com logos bordados, nome da Secretaria Municipal da Saúde; Logo do SUS; Brasão do Município de Vacaria; Tecido Gabardine ou microfibra; gênero masculino e feminino; bolsos 1(um) superior e 2(dois) inferiores; manga longa com punho.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25,00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75,00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propria</w:t>
            </w:r>
          </w:p>
        </w:tc>
      </w:tr>
    </w:tbl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ar-SA"/>
        </w:rPr>
      </w:pPr>
      <w:r>
        <w:rPr>
          <w:rFonts w:eastAsia="Times New Roman" w:ascii="Arial" w:hAnsi="Arial"/>
          <w:sz w:val="22"/>
          <w:lang w:eastAsia="ar-SA"/>
        </w:rPr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567" w:footer="1134" w:bottom="119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288" w:leader="none"/>
        <w:tab w:val="left" w:pos="1008" w:leader="none"/>
        <w:tab w:val="center" w:pos="4608" w:leader="none"/>
      </w:tabs>
      <w:spacing w:before="0" w:after="160"/>
      <w:ind w:left="0" w:right="360" w:hanging="0"/>
      <w:jc w:val="right"/>
      <w:rPr>
        <w:rFonts w:ascii="Courier" w:hAnsi="Courier"/>
        <w:sz w:val="24"/>
      </w:rPr>
    </w:pPr>
    <w:r>
      <w:rPr>
        <w:rFonts w:ascii="Courier" w:hAnsi="Courier"/>
        <w:sz w:val="24"/>
      </w:rPr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476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cs="Times New Roman" w:eastAsia="Calibri"/>
      <w:color w:val="auto"/>
      <w:kern w:val="0"/>
      <w:sz w:val="20"/>
      <w:szCs w:val="22"/>
      <w:lang w:val="pt-BR" w:eastAsia="en-US" w:bidi="ar-SA"/>
    </w:rPr>
  </w:style>
  <w:style w:type="character" w:styleId="DefaultParagraphFontWW">
    <w:name w:val="Default Paragraph Font (WW)"/>
    <w:qFormat/>
    <w:rPr/>
  </w:style>
  <w:style w:type="character" w:styleId="RodapChar">
    <w:name w:val="Rodapé Char"/>
    <w:basedOn w:val="DefaultParagraphFontWW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WW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  <w:overflowPunct w:val="true"/>
      <w:spacing w:lineRule="auto" w:line="240" w:before="0" w:after="0"/>
      <w:textAlignment w:val="baseline"/>
    </w:pPr>
    <w:rPr>
      <w:rFonts w:eastAsia="Times New Roman"/>
      <w:szCs w:val="20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WW">
    <w:name w:val="No List (WW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3</Pages>
  <Words>637</Words>
  <Characters>3397</Characters>
  <CharactersWithSpaces>3871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2024-05-21T20:08:00Z</dcterms:created>
  <dc:creator>Juliano Costa Emmert (MTZ - CC - GOVBR)</dc:creator>
  <dc:description/>
  <dc:language>pt-BR</dc:language>
  <cp:lastModifiedBy/>
  <dcterms:modified xsi:type="dcterms:W3CDTF">2025-10-01T15:12:07Z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