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25" w:rsidRDefault="00EB28EB">
      <w:pPr>
        <w:pStyle w:val="Standard"/>
        <w:jc w:val="center"/>
      </w:pPr>
      <w:r>
        <w:rPr>
          <w:rFonts w:ascii="Arial" w:eastAsia="Arial" w:hAnsi="Arial" w:cs="Arial"/>
          <w:b/>
          <w:color w:val="000000"/>
          <w:sz w:val="30"/>
        </w:rPr>
        <w:t>DECRETO Nº 26/2019</w:t>
      </w:r>
    </w:p>
    <w:p w:rsidR="005B2F25" w:rsidRDefault="005B2F25">
      <w:pPr>
        <w:pStyle w:val="Standard"/>
        <w:spacing w:line="360" w:lineRule="exact"/>
        <w:jc w:val="center"/>
        <w:rPr>
          <w:rFonts w:ascii="Arial" w:eastAsia="Arial" w:hAnsi="Arial" w:cs="Arial"/>
          <w:b/>
          <w:color w:val="000000"/>
        </w:rPr>
      </w:pP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5046"/>
        <w:jc w:val="center"/>
        <w:rPr>
          <w:rFonts w:ascii="Arial" w:hAnsi="Arial"/>
        </w:rPr>
      </w:pP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5046"/>
        <w:jc w:val="center"/>
        <w:rPr>
          <w:rFonts w:ascii="Arial" w:hAnsi="Arial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5046"/>
        <w:jc w:val="right"/>
        <w:rPr>
          <w:rFonts w:ascii="Arial" w:hAnsi="Arial"/>
        </w:rPr>
      </w:pPr>
      <w:r>
        <w:rPr>
          <w:rFonts w:ascii="Arial" w:eastAsia="Arial" w:hAnsi="Arial" w:cs="Arial"/>
          <w:b/>
          <w:i/>
          <w:color w:val="000000"/>
          <w:sz w:val="22"/>
        </w:rPr>
        <w:t>"Regula a Lei Municipal Nº 2.519/2007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5046"/>
        <w:jc w:val="right"/>
        <w:rPr>
          <w:rFonts w:ascii="Arial" w:hAnsi="Arial"/>
        </w:rPr>
      </w:pPr>
      <w:r>
        <w:rPr>
          <w:rFonts w:ascii="Arial" w:eastAsia="Arial" w:hAnsi="Arial" w:cs="Arial"/>
          <w:b/>
          <w:i/>
          <w:color w:val="000000"/>
          <w:sz w:val="22"/>
        </w:rPr>
        <w:t>e dá outras providências”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jc w:val="center"/>
        <w:rPr>
          <w:rFonts w:ascii="Arial" w:hAnsi="Arial"/>
        </w:rPr>
      </w:pP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jc w:val="center"/>
        <w:rPr>
          <w:rFonts w:ascii="Arial" w:hAnsi="Arial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24"/>
        <w:jc w:val="both"/>
        <w:rPr>
          <w:rFonts w:ascii="Arial" w:hAnsi="Arial"/>
        </w:rPr>
      </w:pPr>
      <w:r>
        <w:rPr>
          <w:rFonts w:ascii="Arial" w:hAnsi="Arial"/>
          <w:color w:val="00000A"/>
        </w:rPr>
        <w:t xml:space="preserve">AMADEU DE ALMEIDA BOEIRA, Prefeito Municipal de Vacaria, Estado do Rio Grande do Sul, no uso de </w:t>
      </w:r>
      <w:r>
        <w:rPr>
          <w:rFonts w:ascii="Arial" w:hAnsi="Arial"/>
          <w:color w:val="00000A"/>
        </w:rPr>
        <w:t>suas atribuições legais e com base no artigo 5.º da Lei Municipal n.º 2.519/2007. de 12 de setembro de 2007,</w:t>
      </w:r>
    </w:p>
    <w:p w:rsidR="005B2F25" w:rsidRDefault="005B2F25">
      <w:pPr>
        <w:pStyle w:val="Standard"/>
        <w:widowControl w:val="0"/>
        <w:tabs>
          <w:tab w:val="left" w:pos="0"/>
        </w:tabs>
        <w:spacing w:line="360" w:lineRule="auto"/>
        <w:jc w:val="center"/>
        <w:rPr>
          <w:rFonts w:ascii="Arial" w:hAnsi="Arial"/>
        </w:rPr>
      </w:pPr>
    </w:p>
    <w:p w:rsidR="005B2F25" w:rsidRDefault="00EB28EB">
      <w:pPr>
        <w:pStyle w:val="Standard"/>
        <w:widowControl w:val="0"/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color w:val="00000A"/>
        </w:rPr>
        <w:tab/>
      </w:r>
      <w:r>
        <w:rPr>
          <w:rFonts w:ascii="Arial" w:hAnsi="Arial"/>
          <w:b/>
          <w:color w:val="00000A"/>
        </w:rPr>
        <w:tab/>
      </w:r>
      <w:r>
        <w:rPr>
          <w:rFonts w:ascii="Arial" w:hAnsi="Arial"/>
          <w:b/>
          <w:color w:val="00000A"/>
        </w:rPr>
        <w:tab/>
      </w:r>
      <w:r>
        <w:rPr>
          <w:rFonts w:ascii="Arial" w:hAnsi="Arial"/>
          <w:b/>
          <w:color w:val="00000A"/>
        </w:rPr>
        <w:tab/>
      </w:r>
      <w:r>
        <w:rPr>
          <w:rFonts w:ascii="Arial" w:hAnsi="Arial"/>
          <w:b/>
          <w:color w:val="00000A"/>
        </w:rPr>
        <w:tab/>
        <w:t>DECRETA</w:t>
      </w:r>
    </w:p>
    <w:p w:rsidR="005B2F25" w:rsidRDefault="005B2F25">
      <w:pPr>
        <w:pStyle w:val="Standard"/>
        <w:widowControl w:val="0"/>
        <w:tabs>
          <w:tab w:val="left" w:pos="0"/>
        </w:tabs>
        <w:spacing w:line="360" w:lineRule="auto"/>
        <w:ind w:firstLine="2381"/>
        <w:jc w:val="both"/>
        <w:rPr>
          <w:rFonts w:ascii="Arial" w:hAnsi="Arial"/>
        </w:rPr>
      </w:pPr>
    </w:p>
    <w:p w:rsidR="005B2F25" w:rsidRDefault="00EB28EB">
      <w:pPr>
        <w:pStyle w:val="Standard"/>
        <w:widowControl w:val="0"/>
        <w:tabs>
          <w:tab w:val="left" w:pos="0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>Art. 1º.</w:t>
      </w:r>
      <w:r>
        <w:rPr>
          <w:rFonts w:ascii="Arial" w:hAnsi="Arial"/>
          <w:color w:val="00000A"/>
        </w:rPr>
        <w:t xml:space="preserve"> Nos termos do estabelecido na Lei Municipal n.º 2.519, de 12 de setembro de 2007, o horário de funcionamento de bares ou similares será, de domingos às quintas-feiras, das 07:00 às 24:00 horas e nas sextas-feiras, sábados e feriados, das 07:00 às 02:00 ho</w:t>
      </w:r>
      <w:r>
        <w:rPr>
          <w:rFonts w:ascii="Arial" w:hAnsi="Arial"/>
          <w:color w:val="00000A"/>
        </w:rPr>
        <w:t>ras do dia seguinte, devendo os mencionados horários, para este tipo de atividade, constar em todos os alvarás de licença de funcionamento emitidos pela Secretaria Municipal de Gestão e Finanças.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 xml:space="preserve">§ 1º. </w:t>
      </w:r>
      <w:r>
        <w:rPr>
          <w:rFonts w:ascii="Arial" w:hAnsi="Arial"/>
          <w:color w:val="00000A"/>
        </w:rPr>
        <w:t xml:space="preserve"> Para fins deste decreto, caracterizam-se bares ou si</w:t>
      </w:r>
      <w:r>
        <w:rPr>
          <w:rFonts w:ascii="Arial" w:hAnsi="Arial"/>
          <w:color w:val="00000A"/>
        </w:rPr>
        <w:t>milares, os estabelecimentos nos quais, além da comercialização de produtos e gêneros específicos a esse tipo de atividade, haja venda de bebidas alcoólicas para consumo imediato no próprio local e funcionem de portas abertas, e não possuam, cumulativament</w:t>
      </w:r>
      <w:r>
        <w:rPr>
          <w:rFonts w:ascii="Arial" w:hAnsi="Arial"/>
          <w:color w:val="00000A"/>
        </w:rPr>
        <w:t>e, isolamento acústico, estacionamento próprio e funcionários destinados à segurança dos frequentadores ou usuários.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 xml:space="preserve">I. </w:t>
      </w:r>
      <w:r>
        <w:rPr>
          <w:rFonts w:ascii="Arial" w:hAnsi="Arial"/>
          <w:color w:val="00000A"/>
        </w:rPr>
        <w:t>Por “portas abertas” entende-se que o local não é privado, estando à disposição do público em geral;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 xml:space="preserve">II. </w:t>
      </w:r>
      <w:r>
        <w:rPr>
          <w:rFonts w:ascii="Arial" w:hAnsi="Arial"/>
          <w:color w:val="00000A"/>
        </w:rPr>
        <w:t>A comprovação do isolamento ac</w:t>
      </w:r>
      <w:r>
        <w:rPr>
          <w:rFonts w:ascii="Arial" w:hAnsi="Arial"/>
          <w:color w:val="00000A"/>
        </w:rPr>
        <w:t>ústico dar-se-á com a apresentação de Laudo Técnico competente;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 xml:space="preserve">III. </w:t>
      </w:r>
      <w:r>
        <w:rPr>
          <w:rFonts w:ascii="Arial" w:hAnsi="Arial"/>
          <w:color w:val="00000A"/>
        </w:rPr>
        <w:t xml:space="preserve"> A segurança deve ser feita por empresa devidamente habilitada, com certificação no Grupo de Serviço de Vigilância e Guarda – GSVG.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>§ 2º.</w:t>
      </w:r>
      <w:r>
        <w:rPr>
          <w:rFonts w:ascii="Arial" w:hAnsi="Arial"/>
          <w:color w:val="00000A"/>
        </w:rPr>
        <w:t xml:space="preserve"> Os horários referidos neste artigo, poderão ser </w:t>
      </w:r>
      <w:r>
        <w:rPr>
          <w:rFonts w:ascii="Arial" w:hAnsi="Arial"/>
          <w:color w:val="00000A"/>
        </w:rPr>
        <w:t>autorizados ou prorrogados mediante solicitação de alvará de funcionamento, conforme as peculiaridades do estabelecimento e do local onde se encontra instalado, sendo expedido novo alvará de funcionamento, desde que atendidos, cumulativamente, os requisito</w:t>
      </w:r>
      <w:r>
        <w:rPr>
          <w:rFonts w:ascii="Arial" w:hAnsi="Arial"/>
          <w:color w:val="00000A"/>
        </w:rPr>
        <w:t>s do isolamento acústico, da segurança e do estacionamento, nos moldes das alíneas “b” e “c” do parágrafo 1º.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>§ 3º.</w:t>
      </w:r>
      <w:r>
        <w:rPr>
          <w:rFonts w:ascii="Arial" w:hAnsi="Arial"/>
          <w:color w:val="00000A"/>
        </w:rPr>
        <w:t xml:space="preserve"> Poderão ser expedidos alvarás de funcionamento para promoções eventuais, contanto que seja requerido com 5 (cinco) dias de antecedência, ac</w:t>
      </w:r>
      <w:r>
        <w:rPr>
          <w:rFonts w:ascii="Arial" w:hAnsi="Arial"/>
          <w:color w:val="00000A"/>
        </w:rPr>
        <w:t>ompanhado do PPCI e Vistoria Policial, nos termos do Art. 8.º da Lei n.º 1.568/1995.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 xml:space="preserve">§ 4º. </w:t>
      </w:r>
      <w:r>
        <w:rPr>
          <w:rFonts w:ascii="Arial" w:hAnsi="Arial"/>
          <w:color w:val="00000A"/>
        </w:rPr>
        <w:t>Para fins do parágrafo anterior, igualmente, deverão ser atendidos, cumulativamente, os requisitos do isolamento acústico, da segurança e do estacionamento, nos mol</w:t>
      </w:r>
      <w:r>
        <w:rPr>
          <w:rFonts w:ascii="Arial" w:hAnsi="Arial"/>
          <w:color w:val="00000A"/>
        </w:rPr>
        <w:t>des das alíneas “b” e “c” do parágrafo 1º.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>Art. 2º.</w:t>
      </w:r>
      <w:r>
        <w:rPr>
          <w:rFonts w:ascii="Arial" w:hAnsi="Arial"/>
          <w:color w:val="00000A"/>
        </w:rPr>
        <w:t xml:space="preserve"> Fica proibida, a partir da publicação da Lei n.º 2.519, de 12 de setembro de 2007, a concessão de novas licenças de funcionamento para bares ou similares, em imóveis localizados a menos de 200 (duzentos)</w:t>
      </w:r>
      <w:r>
        <w:rPr>
          <w:rFonts w:ascii="Arial" w:hAnsi="Arial"/>
          <w:color w:val="00000A"/>
        </w:rPr>
        <w:t xml:space="preserve"> metros de distância de estabelecimentos de ensino infantil, fundamental, médio, técnico ou superior, quer público ou privado, exceto aos já instalados por ocasião da publicação da referida lei.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>Parágrafo único.</w:t>
      </w:r>
      <w:r>
        <w:rPr>
          <w:rFonts w:ascii="Arial" w:hAnsi="Arial"/>
          <w:color w:val="00000A"/>
        </w:rPr>
        <w:t xml:space="preserve"> A distância a que alude o presente artigo, </w:t>
      </w:r>
      <w:r>
        <w:rPr>
          <w:rFonts w:ascii="Arial" w:hAnsi="Arial"/>
          <w:color w:val="00000A"/>
        </w:rPr>
        <w:t>será calculada a partir dos limites do imóvel onde está edificado o estabelecimento de ensino.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</w:rPr>
        <w:t>Art. 3º.</w:t>
      </w:r>
      <w:r>
        <w:rPr>
          <w:rFonts w:ascii="Arial" w:hAnsi="Arial"/>
          <w:color w:val="00000A"/>
        </w:rPr>
        <w:t xml:space="preserve"> Ficam os bares e similares obrigados a fixar, em local de fácil visualização do público, Quadro de Documentos com as dimensões mínimas de 80x60cm, do q</w:t>
      </w:r>
      <w:r>
        <w:rPr>
          <w:rFonts w:ascii="Arial" w:hAnsi="Arial"/>
          <w:color w:val="00000A"/>
        </w:rPr>
        <w:t>ual constem: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 xml:space="preserve">a) </w:t>
      </w:r>
      <w:r>
        <w:rPr>
          <w:rFonts w:ascii="Arial" w:hAnsi="Arial"/>
          <w:color w:val="00000A"/>
          <w:shd w:val="clear" w:color="auto" w:fill="FFFFFF"/>
        </w:rPr>
        <w:t>O Alvará de Funcionamento expedido pela Prefeitura;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 xml:space="preserve">b) </w:t>
      </w:r>
      <w:r>
        <w:rPr>
          <w:rFonts w:ascii="Arial" w:hAnsi="Arial"/>
          <w:color w:val="00000A"/>
          <w:shd w:val="clear" w:color="auto" w:fill="FFFFFF"/>
        </w:rPr>
        <w:t>O Alvará de Funcionamento expedido pela Vigilância Sanitária;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>c)</w:t>
      </w:r>
      <w:r>
        <w:rPr>
          <w:rFonts w:ascii="Arial" w:hAnsi="Arial"/>
          <w:color w:val="00000A"/>
          <w:shd w:val="clear" w:color="auto" w:fill="FFFFFF"/>
        </w:rPr>
        <w:t xml:space="preserve"> O horário de funcionamento;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>d)</w:t>
      </w:r>
      <w:r>
        <w:rPr>
          <w:rFonts w:ascii="Arial" w:hAnsi="Arial"/>
          <w:color w:val="00000A"/>
          <w:shd w:val="clear" w:color="auto" w:fill="FFFFFF"/>
        </w:rPr>
        <w:t xml:space="preserve"> Aviso de advertência quanto à proibição de venda de bebidas alcoólicas e derivados do fum</w:t>
      </w:r>
      <w:r>
        <w:rPr>
          <w:rFonts w:ascii="Arial" w:hAnsi="Arial"/>
          <w:color w:val="00000A"/>
          <w:shd w:val="clear" w:color="auto" w:fill="FFFFFF"/>
        </w:rPr>
        <w:t>o para menores de 18 (dezoito) anos.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  <w:shd w:val="clear" w:color="auto" w:fill="FFFFFF"/>
        </w:rPr>
      </w:pP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  <w:shd w:val="clear" w:color="auto" w:fill="FFFFFF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>Art. 4º.</w:t>
      </w:r>
      <w:r>
        <w:rPr>
          <w:rFonts w:ascii="Arial" w:hAnsi="Arial"/>
          <w:color w:val="00000A"/>
          <w:shd w:val="clear" w:color="auto" w:fill="FFFFFF"/>
        </w:rPr>
        <w:t xml:space="preserve"> A fiscalização do cumprimento dos ditames da Lei n.º 2.519/2007, e a aplicação das penalidades será exercida pela Secretaria Municipal de Gestão e Finanças, que poderá solicitar auxilio de todos os órgãos da Administração Municipal e da Segurança Pública </w:t>
      </w:r>
      <w:r>
        <w:rPr>
          <w:rFonts w:ascii="Arial" w:hAnsi="Arial"/>
          <w:color w:val="00000A"/>
          <w:shd w:val="clear" w:color="auto" w:fill="FFFFFF"/>
        </w:rPr>
        <w:t>do Estado, para o cumprimento das normas estabelecidas neste Decreto.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  <w:shd w:val="clear" w:color="auto" w:fill="FFFFFF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>Art. 5º.</w:t>
      </w:r>
      <w:r>
        <w:rPr>
          <w:rFonts w:ascii="Arial" w:hAnsi="Arial"/>
          <w:color w:val="00000A"/>
          <w:shd w:val="clear" w:color="auto" w:fill="FFFFFF"/>
        </w:rPr>
        <w:t xml:space="preserve"> Aos infratores da lei ora regulamentada, serão aplicadas, pela ordem, as seguintes penalidades: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t>I – Notificação para regularização, por prazo não superior a 30 (trinta) dias;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t>I</w:t>
      </w:r>
      <w:r>
        <w:rPr>
          <w:rFonts w:ascii="Arial" w:hAnsi="Arial"/>
          <w:color w:val="00000A"/>
          <w:shd w:val="clear" w:color="auto" w:fill="FFFFFF"/>
        </w:rPr>
        <w:t>I – Multa de 400 (quatrocentos) VRM (Valor de Referência Municipal), aplicável em dobro nos casos de reincidência;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t>III – Cancelamento do regime especial de funcionamento;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t>IV – Fechamento administrativo do estabelecimento.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  <w:shd w:val="clear" w:color="auto" w:fill="FFFFFF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>Parágrafo único.</w:t>
      </w:r>
      <w:r>
        <w:rPr>
          <w:rFonts w:ascii="Arial" w:hAnsi="Arial"/>
          <w:color w:val="00000A"/>
          <w:shd w:val="clear" w:color="auto" w:fill="FFFFFF"/>
        </w:rPr>
        <w:t xml:space="preserve"> Após o fechament</w:t>
      </w:r>
      <w:r>
        <w:rPr>
          <w:rFonts w:ascii="Arial" w:hAnsi="Arial"/>
          <w:color w:val="00000A"/>
          <w:shd w:val="clear" w:color="auto" w:fill="FFFFFF"/>
        </w:rPr>
        <w:t>o administrativo do estabelecimento, e transcorrido o prazo de 12 (doze) meses, o Poder Executivo, poderá autorizar nova licença de funcionamento, atendida a legislação vigente.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  <w:shd w:val="clear" w:color="auto" w:fill="FFFFFF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>Art. 6º</w:t>
      </w:r>
      <w:r>
        <w:rPr>
          <w:rFonts w:ascii="Arial" w:hAnsi="Arial"/>
          <w:color w:val="00000A"/>
          <w:shd w:val="clear" w:color="auto" w:fill="FFFFFF"/>
        </w:rPr>
        <w:t>. As restrições da lei n.º 2.519/2007 e deste decreto não se aplicam a</w:t>
      </w:r>
      <w:r>
        <w:rPr>
          <w:rFonts w:ascii="Arial" w:hAnsi="Arial"/>
          <w:color w:val="00000A"/>
          <w:shd w:val="clear" w:color="auto" w:fill="FFFFFF"/>
        </w:rPr>
        <w:t xml:space="preserve"> restaurantes e a bares localizados em hotéis, associações, clubes e hospitais, bem como aos que atenderem, cumulativamente, os requisitos do isolamento acústico, da segurança e do estacionamento, nos moldes das alíneas “b’ e “c” do parágrafo 1.º do artigo</w:t>
      </w:r>
      <w:r>
        <w:rPr>
          <w:rFonts w:ascii="Arial" w:hAnsi="Arial"/>
          <w:color w:val="00000A"/>
          <w:shd w:val="clear" w:color="auto" w:fill="FFFFFF"/>
        </w:rPr>
        <w:t xml:space="preserve"> 1.º deste Decreto.</w:t>
      </w:r>
    </w:p>
    <w:p w:rsidR="005B2F25" w:rsidRDefault="005B2F25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  <w:color w:val="00000A"/>
          <w:shd w:val="clear" w:color="auto" w:fill="FFFFFF"/>
        </w:rPr>
      </w:pP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A"/>
          <w:shd w:val="clear" w:color="auto" w:fill="FFFFFF"/>
        </w:rPr>
        <w:t>Art. 7º.</w:t>
      </w:r>
      <w:r>
        <w:rPr>
          <w:rFonts w:ascii="Arial" w:hAnsi="Arial"/>
          <w:color w:val="00000A"/>
          <w:shd w:val="clear" w:color="auto" w:fill="FFFFFF"/>
        </w:rPr>
        <w:t xml:space="preserve"> O presente decreto entrará em vigor na data de sua publicação, revogando o Decreto Nº 122/2007.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ind w:firstLine="2381"/>
        <w:jc w:val="center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color w:val="00000A"/>
          <w:shd w:val="clear" w:color="auto" w:fill="FFFFFF"/>
        </w:rPr>
        <w:t>GABINETE DO PREFEITO MUNICIPAL DE VACARIA, 20 de fevereiro de 2019.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color w:val="00000A"/>
          <w:shd w:val="clear" w:color="auto" w:fill="FFFFFF"/>
        </w:rPr>
        <w:t>AMADEU DE ALMEIDA BOEIRA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t>Prefeito Municipal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t>ELDER DA COSTA NERY</w:t>
      </w:r>
    </w:p>
    <w:p w:rsidR="005B2F25" w:rsidRDefault="00EB28EB">
      <w:pPr>
        <w:pStyle w:val="Standard"/>
        <w:widowControl w:val="0"/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A"/>
          <w:shd w:val="clear" w:color="auto" w:fill="FFFFFF"/>
        </w:rPr>
        <w:lastRenderedPageBreak/>
        <w:t>Secretário de Gestão e F</w:t>
      </w:r>
      <w:r>
        <w:rPr>
          <w:rFonts w:ascii="Arial" w:hAnsi="Arial"/>
          <w:color w:val="00000A"/>
          <w:shd w:val="clear" w:color="auto" w:fill="FFFFFF"/>
        </w:rPr>
        <w:t>inanças</w:t>
      </w:r>
    </w:p>
    <w:sectPr w:rsidR="005B2F25" w:rsidSect="005B2F25">
      <w:pgSz w:w="11906" w:h="16838"/>
      <w:pgMar w:top="2259" w:right="1134" w:bottom="46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EB" w:rsidRDefault="00EB28EB" w:rsidP="005B2F25">
      <w:r>
        <w:separator/>
      </w:r>
    </w:p>
  </w:endnote>
  <w:endnote w:type="continuationSeparator" w:id="0">
    <w:p w:rsidR="00EB28EB" w:rsidRDefault="00EB28EB" w:rsidP="005B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EB" w:rsidRDefault="00EB28EB" w:rsidP="005B2F25">
      <w:r w:rsidRPr="005B2F25">
        <w:rPr>
          <w:color w:val="000000"/>
        </w:rPr>
        <w:separator/>
      </w:r>
    </w:p>
  </w:footnote>
  <w:footnote w:type="continuationSeparator" w:id="0">
    <w:p w:rsidR="00EB28EB" w:rsidRDefault="00EB28EB" w:rsidP="005B2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1614"/>
    <w:multiLevelType w:val="multilevel"/>
    <w:tmpl w:val="693817B4"/>
    <w:styleLink w:val="WWNum1"/>
    <w:lvl w:ilvl="0"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F25"/>
    <w:rsid w:val="005B2F25"/>
    <w:rsid w:val="00C20C83"/>
    <w:rsid w:val="00EB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B2F25"/>
  </w:style>
  <w:style w:type="paragraph" w:customStyle="1" w:styleId="Heading">
    <w:name w:val="Heading"/>
    <w:basedOn w:val="Standard"/>
    <w:next w:val="Textbody"/>
    <w:rsid w:val="005B2F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2F25"/>
    <w:pPr>
      <w:spacing w:after="140" w:line="276" w:lineRule="auto"/>
    </w:pPr>
  </w:style>
  <w:style w:type="paragraph" w:styleId="Lista">
    <w:name w:val="List"/>
    <w:basedOn w:val="Textbody"/>
    <w:rsid w:val="005B2F25"/>
  </w:style>
  <w:style w:type="paragraph" w:customStyle="1" w:styleId="Caption">
    <w:name w:val="Caption"/>
    <w:basedOn w:val="Standard"/>
    <w:rsid w:val="005B2F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2F25"/>
    <w:pPr>
      <w:suppressLineNumbers/>
    </w:pPr>
  </w:style>
  <w:style w:type="numbering" w:customStyle="1" w:styleId="WWNum1">
    <w:name w:val="WWNum1"/>
    <w:basedOn w:val="Semlista"/>
    <w:rsid w:val="005B2F2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782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francielli Longhi</dc:creator>
  <cp:lastModifiedBy>francielli Longhi</cp:lastModifiedBy>
  <cp:revision>1</cp:revision>
  <dcterms:created xsi:type="dcterms:W3CDTF">2019-02-20T14:49:00Z</dcterms:created>
  <dcterms:modified xsi:type="dcterms:W3CDTF">2019-02-21T20:05:00Z</dcterms:modified>
</cp:coreProperties>
</file>